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78593">
      <w:pPr>
        <w:pStyle w:val="2"/>
      </w:pPr>
      <w:bookmarkStart w:id="0" w:name="OLE_LINK9"/>
      <w:bookmarkStart w:id="1" w:name="_Toc3107"/>
      <w:r>
        <w:rPr>
          <w:rFonts w:ascii="Microsoft YaHei UI" w:hAnsi="Microsoft YaHei UI" w:eastAsia="Microsoft YaHei UI"/>
          <w:b w:val="0"/>
          <w:bCs w:val="0"/>
          <w:spacing w:val="8"/>
          <w:sz w:val="33"/>
          <w:szCs w:val="33"/>
        </w:rPr>
        <w:t>DGB</w:t>
      </w:r>
      <w:bookmarkEnd w:id="0"/>
      <w:r>
        <w:rPr>
          <w:rFonts w:ascii="Microsoft YaHei UI" w:hAnsi="Microsoft YaHei UI" w:eastAsia="Microsoft YaHei UI"/>
          <w:b w:val="0"/>
          <w:bCs w:val="0"/>
          <w:spacing w:val="8"/>
          <w:sz w:val="33"/>
          <w:szCs w:val="33"/>
        </w:rPr>
        <w:t>军事情报数据库</w:t>
      </w:r>
      <w:r>
        <w:rPr>
          <w:rFonts w:hint="eastAsia" w:ascii="Microsoft YaHei UI" w:hAnsi="Microsoft YaHei UI" w:eastAsia="Microsoft YaHei UI"/>
          <w:b w:val="0"/>
          <w:bCs w:val="0"/>
          <w:spacing w:val="8"/>
          <w:sz w:val="33"/>
          <w:szCs w:val="33"/>
        </w:rPr>
        <w:t>开通试用子库介绍</w:t>
      </w:r>
      <w:bookmarkEnd w:id="1"/>
    </w:p>
    <w:sdt>
      <w:sdtPr>
        <w:rPr>
          <w:rFonts w:asciiTheme="minorHAnsi" w:hAnsiTheme="minorHAnsi" w:eastAsiaTheme="minorEastAsia" w:cstheme="minorBidi"/>
          <w:color w:val="auto"/>
          <w:kern w:val="2"/>
          <w:sz w:val="21"/>
          <w:szCs w:val="22"/>
          <w:lang w:val="zh-CN"/>
        </w:rPr>
        <w:id w:val="1112707355"/>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14:paraId="0CB35E35">
          <w:pPr>
            <w:pStyle w:val="18"/>
          </w:pPr>
          <w:bookmarkStart w:id="24" w:name="_GoBack"/>
          <w:bookmarkEnd w:id="24"/>
          <w:r>
            <w:rPr>
              <w:lang w:val="zh-CN"/>
            </w:rPr>
            <w:t>目录</w:t>
          </w:r>
        </w:p>
        <w:p w14:paraId="320C8711">
          <w:pPr>
            <w:pStyle w:val="6"/>
            <w:tabs>
              <w:tab w:val="right" w:leader="dot" w:pos="8306"/>
            </w:tabs>
          </w:pPr>
          <w:r>
            <w:fldChar w:fldCharType="begin"/>
          </w:r>
          <w:r>
            <w:instrText xml:space="preserve"> TOC \o "1-3" \h \z \u </w:instrText>
          </w:r>
          <w:r>
            <w:fldChar w:fldCharType="separate"/>
          </w:r>
          <w:r>
            <w:fldChar w:fldCharType="begin"/>
          </w:r>
          <w:r>
            <w:instrText xml:space="preserve"> HYPERLINK \l _Toc3107 </w:instrText>
          </w:r>
          <w:r>
            <w:fldChar w:fldCharType="separate"/>
          </w:r>
          <w:r>
            <w:rPr>
              <w:rFonts w:ascii="Microsoft YaHei UI" w:hAnsi="Microsoft YaHei UI" w:eastAsia="Microsoft YaHei UI"/>
              <w:bCs w:val="0"/>
              <w:spacing w:val="8"/>
              <w:szCs w:val="33"/>
            </w:rPr>
            <w:t>DGB军事情报数据库</w:t>
          </w:r>
          <w:r>
            <w:rPr>
              <w:rFonts w:hint="eastAsia" w:ascii="Microsoft YaHei UI" w:hAnsi="Microsoft YaHei UI" w:eastAsia="Microsoft YaHei UI"/>
              <w:bCs w:val="0"/>
              <w:spacing w:val="8"/>
              <w:szCs w:val="33"/>
            </w:rPr>
            <w:t>开通试用子库介绍</w:t>
          </w:r>
          <w:r>
            <w:tab/>
          </w:r>
          <w:r>
            <w:fldChar w:fldCharType="begin"/>
          </w:r>
          <w:r>
            <w:instrText xml:space="preserve"> PAGEREF _Toc3107 \h </w:instrText>
          </w:r>
          <w:r>
            <w:fldChar w:fldCharType="separate"/>
          </w:r>
          <w:r>
            <w:t>1</w:t>
          </w:r>
          <w:r>
            <w:fldChar w:fldCharType="end"/>
          </w:r>
          <w:r>
            <w:fldChar w:fldCharType="end"/>
          </w:r>
        </w:p>
        <w:p w14:paraId="3D69D671">
          <w:pPr>
            <w:pStyle w:val="6"/>
            <w:tabs>
              <w:tab w:val="right" w:leader="dot" w:pos="8306"/>
            </w:tabs>
          </w:pPr>
          <w:r>
            <w:rPr>
              <w:bCs/>
              <w:lang w:val="zh-CN"/>
            </w:rPr>
            <w:fldChar w:fldCharType="begin"/>
          </w:r>
          <w:r>
            <w:rPr>
              <w:bCs/>
              <w:lang w:val="zh-CN"/>
            </w:rPr>
            <w:instrText xml:space="preserve"> HYPERLINK \l _Toc30898 </w:instrText>
          </w:r>
          <w:r>
            <w:rPr>
              <w:bCs/>
              <w:lang w:val="zh-CN"/>
            </w:rPr>
            <w:fldChar w:fldCharType="separate"/>
          </w:r>
          <w:r>
            <w:rPr>
              <w:rFonts w:ascii="Georgia" w:hAnsi="Georgia"/>
              <w:spacing w:val="-12"/>
            </w:rPr>
            <w:t xml:space="preserve">1. </w:t>
          </w:r>
          <w:r>
            <w:rPr>
              <w:rFonts w:hint="eastAsia"/>
            </w:rPr>
            <w:t>美国亚洲情报解密在线，1945-1991</w:t>
          </w:r>
          <w:r>
            <w:tab/>
          </w:r>
          <w:r>
            <w:fldChar w:fldCharType="begin"/>
          </w:r>
          <w:r>
            <w:instrText xml:space="preserve"> PAGEREF _Toc30898 \h </w:instrText>
          </w:r>
          <w:r>
            <w:fldChar w:fldCharType="separate"/>
          </w:r>
          <w:r>
            <w:t>2</w:t>
          </w:r>
          <w:r>
            <w:fldChar w:fldCharType="end"/>
          </w:r>
          <w:r>
            <w:rPr>
              <w:bCs/>
              <w:lang w:val="zh-CN"/>
            </w:rPr>
            <w:fldChar w:fldCharType="end"/>
          </w:r>
        </w:p>
        <w:p w14:paraId="31E7633D">
          <w:pPr>
            <w:pStyle w:val="6"/>
            <w:tabs>
              <w:tab w:val="right" w:leader="dot" w:pos="8306"/>
            </w:tabs>
          </w:pPr>
          <w:r>
            <w:rPr>
              <w:bCs/>
              <w:lang w:val="zh-CN"/>
            </w:rPr>
            <w:fldChar w:fldCharType="begin"/>
          </w:r>
          <w:r>
            <w:rPr>
              <w:bCs/>
              <w:lang w:val="zh-CN"/>
            </w:rPr>
            <w:instrText xml:space="preserve"> HYPERLINK \l _Toc32477 </w:instrText>
          </w:r>
          <w:r>
            <w:rPr>
              <w:bCs/>
              <w:lang w:val="zh-CN"/>
            </w:rPr>
            <w:fldChar w:fldCharType="separate"/>
          </w:r>
          <w:r>
            <w:rPr>
              <w:rFonts w:ascii="Georgia" w:hAnsi="Georgia"/>
              <w:spacing w:val="-12"/>
            </w:rPr>
            <w:t>2.</w:t>
          </w:r>
          <w:r>
            <w:rPr>
              <w:rFonts w:hint="eastAsia"/>
            </w:rPr>
            <w:t xml:space="preserve"> 美国欧洲情报解密在线，1945-1995</w:t>
          </w:r>
          <w:r>
            <w:tab/>
          </w:r>
          <w:r>
            <w:fldChar w:fldCharType="begin"/>
          </w:r>
          <w:r>
            <w:instrText xml:space="preserve"> PAGEREF _Toc32477 \h </w:instrText>
          </w:r>
          <w:r>
            <w:fldChar w:fldCharType="separate"/>
          </w:r>
          <w:r>
            <w:t>3</w:t>
          </w:r>
          <w:r>
            <w:fldChar w:fldCharType="end"/>
          </w:r>
          <w:r>
            <w:rPr>
              <w:bCs/>
              <w:lang w:val="zh-CN"/>
            </w:rPr>
            <w:fldChar w:fldCharType="end"/>
          </w:r>
        </w:p>
        <w:p w14:paraId="1DA7E9A5">
          <w:pPr>
            <w:pStyle w:val="6"/>
            <w:tabs>
              <w:tab w:val="right" w:leader="dot" w:pos="8306"/>
            </w:tabs>
          </w:pPr>
          <w:r>
            <w:rPr>
              <w:bCs/>
              <w:lang w:val="zh-CN"/>
            </w:rPr>
            <w:fldChar w:fldCharType="begin"/>
          </w:r>
          <w:r>
            <w:rPr>
              <w:bCs/>
              <w:lang w:val="zh-CN"/>
            </w:rPr>
            <w:instrText xml:space="preserve"> HYPERLINK \l _Toc28167 </w:instrText>
          </w:r>
          <w:r>
            <w:rPr>
              <w:bCs/>
              <w:lang w:val="zh-CN"/>
            </w:rPr>
            <w:fldChar w:fldCharType="separate"/>
          </w:r>
          <w:r>
            <w:rPr>
              <w:rFonts w:ascii="Georgia" w:hAnsi="Georgia"/>
              <w:spacing w:val="-12"/>
            </w:rPr>
            <w:t xml:space="preserve">3. </w:t>
          </w:r>
          <w:r>
            <w:rPr>
              <w:rFonts w:hint="eastAsia"/>
            </w:rPr>
            <w:t>美国中东情报解密在线，1945-2009</w:t>
          </w:r>
          <w:r>
            <w:tab/>
          </w:r>
          <w:r>
            <w:fldChar w:fldCharType="begin"/>
          </w:r>
          <w:r>
            <w:instrText xml:space="preserve"> PAGEREF _Toc28167 \h </w:instrText>
          </w:r>
          <w:r>
            <w:fldChar w:fldCharType="separate"/>
          </w:r>
          <w:r>
            <w:t>4</w:t>
          </w:r>
          <w:r>
            <w:fldChar w:fldCharType="end"/>
          </w:r>
          <w:r>
            <w:rPr>
              <w:bCs/>
              <w:lang w:val="zh-CN"/>
            </w:rPr>
            <w:fldChar w:fldCharType="end"/>
          </w:r>
        </w:p>
        <w:p w14:paraId="09174D38">
          <w:pPr>
            <w:pStyle w:val="6"/>
            <w:tabs>
              <w:tab w:val="right" w:leader="dot" w:pos="8306"/>
            </w:tabs>
          </w:pPr>
          <w:r>
            <w:rPr>
              <w:bCs/>
              <w:lang w:val="zh-CN"/>
            </w:rPr>
            <w:fldChar w:fldCharType="begin"/>
          </w:r>
          <w:r>
            <w:rPr>
              <w:bCs/>
              <w:lang w:val="zh-CN"/>
            </w:rPr>
            <w:instrText xml:space="preserve"> HYPERLINK \l _Toc11259 </w:instrText>
          </w:r>
          <w:r>
            <w:rPr>
              <w:bCs/>
              <w:lang w:val="zh-CN"/>
            </w:rPr>
            <w:fldChar w:fldCharType="separate"/>
          </w:r>
          <w:r>
            <w:rPr>
              <w:rFonts w:ascii="Georgia" w:hAnsi="Georgia"/>
              <w:spacing w:val="-12"/>
            </w:rPr>
            <w:t xml:space="preserve">4. </w:t>
          </w:r>
          <w:r>
            <w:rPr>
              <w:rFonts w:hint="eastAsia"/>
            </w:rPr>
            <w:t>冷战情报解密，1945-1991</w:t>
          </w:r>
          <w:r>
            <w:tab/>
          </w:r>
          <w:r>
            <w:fldChar w:fldCharType="begin"/>
          </w:r>
          <w:r>
            <w:instrText xml:space="preserve"> PAGEREF _Toc11259 \h </w:instrText>
          </w:r>
          <w:r>
            <w:fldChar w:fldCharType="separate"/>
          </w:r>
          <w:r>
            <w:t>6</w:t>
          </w:r>
          <w:r>
            <w:fldChar w:fldCharType="end"/>
          </w:r>
          <w:r>
            <w:rPr>
              <w:bCs/>
              <w:lang w:val="zh-CN"/>
            </w:rPr>
            <w:fldChar w:fldCharType="end"/>
          </w:r>
        </w:p>
        <w:p w14:paraId="29BCB258">
          <w:pPr>
            <w:pStyle w:val="6"/>
            <w:tabs>
              <w:tab w:val="right" w:leader="dot" w:pos="8306"/>
            </w:tabs>
          </w:pPr>
          <w:r>
            <w:rPr>
              <w:bCs/>
              <w:lang w:val="zh-CN"/>
            </w:rPr>
            <w:fldChar w:fldCharType="begin"/>
          </w:r>
          <w:r>
            <w:rPr>
              <w:bCs/>
              <w:lang w:val="zh-CN"/>
            </w:rPr>
            <w:instrText xml:space="preserve"> HYPERLINK \l _Toc24179 </w:instrText>
          </w:r>
          <w:r>
            <w:rPr>
              <w:bCs/>
              <w:lang w:val="zh-CN"/>
            </w:rPr>
            <w:fldChar w:fldCharType="separate"/>
          </w:r>
          <w:r>
            <w:rPr>
              <w:rFonts w:ascii="Georgia" w:hAnsi="Georgia"/>
              <w:spacing w:val="-12"/>
            </w:rPr>
            <w:t xml:space="preserve">5. </w:t>
          </w:r>
          <w:r>
            <w:rPr>
              <w:rFonts w:hint="eastAsia"/>
            </w:rPr>
            <w:t>美国大杀伤武器情报解密</w:t>
          </w:r>
          <w:r>
            <w:tab/>
          </w:r>
          <w:r>
            <w:fldChar w:fldCharType="begin"/>
          </w:r>
          <w:r>
            <w:instrText xml:space="preserve"> PAGEREF _Toc24179 \h </w:instrText>
          </w:r>
          <w:r>
            <w:fldChar w:fldCharType="separate"/>
          </w:r>
          <w:r>
            <w:t>7</w:t>
          </w:r>
          <w:r>
            <w:fldChar w:fldCharType="end"/>
          </w:r>
          <w:r>
            <w:rPr>
              <w:bCs/>
              <w:lang w:val="zh-CN"/>
            </w:rPr>
            <w:fldChar w:fldCharType="end"/>
          </w:r>
        </w:p>
        <w:p w14:paraId="108774FC">
          <w:pPr>
            <w:pStyle w:val="6"/>
            <w:tabs>
              <w:tab w:val="right" w:leader="dot" w:pos="8306"/>
            </w:tabs>
          </w:pPr>
          <w:r>
            <w:rPr>
              <w:bCs/>
              <w:lang w:val="zh-CN"/>
            </w:rPr>
            <w:fldChar w:fldCharType="begin"/>
          </w:r>
          <w:r>
            <w:rPr>
              <w:bCs/>
              <w:lang w:val="zh-CN"/>
            </w:rPr>
            <w:instrText xml:space="preserve"> HYPERLINK \l _Toc5631 </w:instrText>
          </w:r>
          <w:r>
            <w:rPr>
              <w:bCs/>
              <w:lang w:val="zh-CN"/>
            </w:rPr>
            <w:fldChar w:fldCharType="separate"/>
          </w:r>
          <w:r>
            <w:rPr>
              <w:rFonts w:ascii="Georgia" w:hAnsi="Georgia"/>
              <w:spacing w:val="-12"/>
            </w:rPr>
            <w:t>6.</w:t>
          </w:r>
          <w:r>
            <w:rPr>
              <w:rFonts w:hint="eastAsia"/>
            </w:rPr>
            <w:t xml:space="preserve"> 俄罗斯亚洲军事情报：机密档案，1651-1917</w:t>
          </w:r>
          <w:r>
            <w:tab/>
          </w:r>
          <w:r>
            <w:fldChar w:fldCharType="begin"/>
          </w:r>
          <w:r>
            <w:instrText xml:space="preserve"> PAGEREF _Toc5631 \h </w:instrText>
          </w:r>
          <w:r>
            <w:fldChar w:fldCharType="separate"/>
          </w:r>
          <w:r>
            <w:t>8</w:t>
          </w:r>
          <w:r>
            <w:fldChar w:fldCharType="end"/>
          </w:r>
          <w:r>
            <w:rPr>
              <w:bCs/>
              <w:lang w:val="zh-CN"/>
            </w:rPr>
            <w:fldChar w:fldCharType="end"/>
          </w:r>
        </w:p>
        <w:p w14:paraId="0F4119E9">
          <w:pPr>
            <w:pStyle w:val="6"/>
            <w:tabs>
              <w:tab w:val="right" w:leader="dot" w:pos="8306"/>
            </w:tabs>
          </w:pPr>
          <w:r>
            <w:rPr>
              <w:bCs/>
              <w:lang w:val="zh-CN"/>
            </w:rPr>
            <w:fldChar w:fldCharType="begin"/>
          </w:r>
          <w:r>
            <w:rPr>
              <w:bCs/>
              <w:lang w:val="zh-CN"/>
            </w:rPr>
            <w:instrText xml:space="preserve"> HYPERLINK \l _Toc1713 </w:instrText>
          </w:r>
          <w:r>
            <w:rPr>
              <w:bCs/>
              <w:lang w:val="zh-CN"/>
            </w:rPr>
            <w:fldChar w:fldCharType="separate"/>
          </w:r>
          <w:r>
            <w:rPr>
              <w:rFonts w:ascii="Georgia" w:hAnsi="Georgia"/>
              <w:spacing w:val="-12"/>
            </w:rPr>
            <w:t xml:space="preserve">7. </w:t>
          </w:r>
          <w:r>
            <w:rPr>
              <w:rFonts w:hint="eastAsia"/>
            </w:rPr>
            <w:t>俄罗斯亚洲军事情报：机密文件，1883-1914</w:t>
          </w:r>
          <w:r>
            <w:tab/>
          </w:r>
          <w:r>
            <w:fldChar w:fldCharType="begin"/>
          </w:r>
          <w:r>
            <w:instrText xml:space="preserve"> PAGEREF _Toc1713 \h </w:instrText>
          </w:r>
          <w:r>
            <w:fldChar w:fldCharType="separate"/>
          </w:r>
          <w:r>
            <w:t>10</w:t>
          </w:r>
          <w:r>
            <w:fldChar w:fldCharType="end"/>
          </w:r>
          <w:r>
            <w:rPr>
              <w:bCs/>
              <w:lang w:val="zh-CN"/>
            </w:rPr>
            <w:fldChar w:fldCharType="end"/>
          </w:r>
        </w:p>
        <w:p w14:paraId="18B634D6">
          <w:pPr>
            <w:pStyle w:val="6"/>
            <w:tabs>
              <w:tab w:val="right" w:leader="dot" w:pos="8306"/>
            </w:tabs>
          </w:pPr>
          <w:r>
            <w:rPr>
              <w:bCs/>
              <w:lang w:val="zh-CN"/>
            </w:rPr>
            <w:fldChar w:fldCharType="begin"/>
          </w:r>
          <w:r>
            <w:rPr>
              <w:bCs/>
              <w:lang w:val="zh-CN"/>
            </w:rPr>
            <w:instrText xml:space="preserve"> HYPERLINK \l _Toc8714 </w:instrText>
          </w:r>
          <w:r>
            <w:rPr>
              <w:bCs/>
              <w:lang w:val="zh-CN"/>
            </w:rPr>
            <w:fldChar w:fldCharType="separate"/>
          </w:r>
          <w:r>
            <w:rPr>
              <w:rFonts w:ascii="Georgia" w:hAnsi="Georgia"/>
              <w:spacing w:val="-12"/>
            </w:rPr>
            <w:t xml:space="preserve">8. </w:t>
          </w:r>
          <w:r>
            <w:rPr>
              <w:rFonts w:hint="eastAsia"/>
            </w:rPr>
            <w:t>英国关于波斯（伊朗）的情报和政策档案， 1900-1949年</w:t>
          </w:r>
          <w:r>
            <w:tab/>
          </w:r>
          <w:r>
            <w:fldChar w:fldCharType="begin"/>
          </w:r>
          <w:r>
            <w:instrText xml:space="preserve"> PAGEREF _Toc8714 \h </w:instrText>
          </w:r>
          <w:r>
            <w:fldChar w:fldCharType="separate"/>
          </w:r>
          <w:r>
            <w:t>11</w:t>
          </w:r>
          <w:r>
            <w:fldChar w:fldCharType="end"/>
          </w:r>
          <w:r>
            <w:rPr>
              <w:bCs/>
              <w:lang w:val="zh-CN"/>
            </w:rPr>
            <w:fldChar w:fldCharType="end"/>
          </w:r>
        </w:p>
        <w:p w14:paraId="74F2F5D7">
          <w:pPr>
            <w:pStyle w:val="6"/>
            <w:tabs>
              <w:tab w:val="right" w:leader="dot" w:pos="8306"/>
            </w:tabs>
          </w:pPr>
          <w:r>
            <w:rPr>
              <w:bCs/>
              <w:lang w:val="zh-CN"/>
            </w:rPr>
            <w:fldChar w:fldCharType="begin"/>
          </w:r>
          <w:r>
            <w:rPr>
              <w:bCs/>
              <w:lang w:val="zh-CN"/>
            </w:rPr>
            <w:instrText xml:space="preserve"> HYPERLINK \l _Toc11620 </w:instrText>
          </w:r>
          <w:r>
            <w:rPr>
              <w:bCs/>
              <w:lang w:val="zh-CN"/>
            </w:rPr>
            <w:fldChar w:fldCharType="separate"/>
          </w:r>
          <w:r>
            <w:rPr>
              <w:rFonts w:ascii="Georgia" w:hAnsi="Georgia"/>
              <w:spacing w:val="-12"/>
            </w:rPr>
            <w:t>9.</w:t>
          </w:r>
          <w:r>
            <w:rPr>
              <w:rFonts w:hint="eastAsia"/>
            </w:rPr>
            <w:t xml:space="preserve"> 英国关于阿富汗及其边境的情报档案， 1888-1946年</w:t>
          </w:r>
          <w:r>
            <w:tab/>
          </w:r>
          <w:r>
            <w:fldChar w:fldCharType="begin"/>
          </w:r>
          <w:r>
            <w:instrText xml:space="preserve"> PAGEREF _Toc11620 \h </w:instrText>
          </w:r>
          <w:r>
            <w:fldChar w:fldCharType="separate"/>
          </w:r>
          <w:r>
            <w:t>15</w:t>
          </w:r>
          <w:r>
            <w:fldChar w:fldCharType="end"/>
          </w:r>
          <w:r>
            <w:rPr>
              <w:bCs/>
              <w:lang w:val="zh-CN"/>
            </w:rPr>
            <w:fldChar w:fldCharType="end"/>
          </w:r>
        </w:p>
        <w:p w14:paraId="2075514A">
          <w:pPr>
            <w:pStyle w:val="6"/>
            <w:tabs>
              <w:tab w:val="right" w:leader="dot" w:pos="8306"/>
            </w:tabs>
          </w:pPr>
          <w:r>
            <w:rPr>
              <w:bCs/>
              <w:lang w:val="zh-CN"/>
            </w:rPr>
            <w:fldChar w:fldCharType="begin"/>
          </w:r>
          <w:r>
            <w:rPr>
              <w:bCs/>
              <w:lang w:val="zh-CN"/>
            </w:rPr>
            <w:instrText xml:space="preserve"> HYPERLINK \l _Toc16914 </w:instrText>
          </w:r>
          <w:r>
            <w:rPr>
              <w:bCs/>
              <w:lang w:val="zh-CN"/>
            </w:rPr>
            <w:fldChar w:fldCharType="separate"/>
          </w:r>
          <w:r>
            <w:rPr>
              <w:rFonts w:ascii="Georgia" w:hAnsi="Georgia"/>
              <w:spacing w:val="-12"/>
            </w:rPr>
            <w:t>10.</w:t>
          </w:r>
          <w:r>
            <w:rPr>
              <w:rFonts w:hint="eastAsia"/>
            </w:rPr>
            <w:t xml:space="preserve"> 英国关于俄罗斯在中亚地区的情报档案， 1</w:t>
          </w:r>
          <w:r>
            <w:rPr>
              <w:rFonts w:hint="eastAsia"/>
              <w:lang w:val="en-US" w:eastAsia="zh-CN"/>
            </w:rPr>
            <w:t>865</w:t>
          </w:r>
          <w:r>
            <w:rPr>
              <w:rFonts w:hint="eastAsia"/>
            </w:rPr>
            <w:t>-19</w:t>
          </w:r>
          <w:r>
            <w:rPr>
              <w:rFonts w:hint="eastAsia"/>
              <w:lang w:val="en-US" w:eastAsia="zh-CN"/>
            </w:rPr>
            <w:t>49</w:t>
          </w:r>
          <w:r>
            <w:rPr>
              <w:rFonts w:hint="eastAsia"/>
            </w:rPr>
            <w:t>年</w:t>
          </w:r>
          <w:r>
            <w:tab/>
          </w:r>
          <w:r>
            <w:fldChar w:fldCharType="begin"/>
          </w:r>
          <w:r>
            <w:instrText xml:space="preserve"> PAGEREF _Toc16914 \h </w:instrText>
          </w:r>
          <w:r>
            <w:fldChar w:fldCharType="separate"/>
          </w:r>
          <w:r>
            <w:t>18</w:t>
          </w:r>
          <w:r>
            <w:fldChar w:fldCharType="end"/>
          </w:r>
          <w:r>
            <w:rPr>
              <w:bCs/>
              <w:lang w:val="zh-CN"/>
            </w:rPr>
            <w:fldChar w:fldCharType="end"/>
          </w:r>
        </w:p>
        <w:p w14:paraId="716B04A6">
          <w:pPr>
            <w:pStyle w:val="6"/>
            <w:tabs>
              <w:tab w:val="right" w:leader="dot" w:pos="8306"/>
            </w:tabs>
          </w:pPr>
          <w:r>
            <w:rPr>
              <w:bCs/>
              <w:lang w:val="zh-CN"/>
            </w:rPr>
            <w:fldChar w:fldCharType="begin"/>
          </w:r>
          <w:r>
            <w:rPr>
              <w:bCs/>
              <w:lang w:val="zh-CN"/>
            </w:rPr>
            <w:instrText xml:space="preserve"> HYPERLINK \l _Toc13062 </w:instrText>
          </w:r>
          <w:r>
            <w:rPr>
              <w:bCs/>
              <w:lang w:val="zh-CN"/>
            </w:rPr>
            <w:fldChar w:fldCharType="separate"/>
          </w:r>
          <w:r>
            <w:rPr>
              <w:rFonts w:ascii="Georgia" w:hAnsi="Georgia"/>
              <w:spacing w:val="-12"/>
            </w:rPr>
            <w:t>11.</w:t>
          </w:r>
          <w:r>
            <w:t xml:space="preserve"> </w:t>
          </w:r>
          <w:r>
            <w:rPr>
              <w:rFonts w:hint="eastAsia"/>
            </w:rPr>
            <w:t>英国关于暹罗（泰国）和东南亚大陆的情报， 1887-1948年</w:t>
          </w:r>
          <w:r>
            <w:tab/>
          </w:r>
          <w:r>
            <w:fldChar w:fldCharType="begin"/>
          </w:r>
          <w:r>
            <w:instrText xml:space="preserve"> PAGEREF _Toc13062 \h </w:instrText>
          </w:r>
          <w:r>
            <w:fldChar w:fldCharType="separate"/>
          </w:r>
          <w:r>
            <w:t>21</w:t>
          </w:r>
          <w:r>
            <w:fldChar w:fldCharType="end"/>
          </w:r>
          <w:r>
            <w:rPr>
              <w:bCs/>
              <w:lang w:val="zh-CN"/>
            </w:rPr>
            <w:fldChar w:fldCharType="end"/>
          </w:r>
        </w:p>
        <w:p w14:paraId="59CE43CB">
          <w:pPr>
            <w:pStyle w:val="6"/>
            <w:tabs>
              <w:tab w:val="right" w:leader="dot" w:pos="8306"/>
            </w:tabs>
          </w:pPr>
          <w:r>
            <w:rPr>
              <w:bCs/>
              <w:lang w:val="zh-CN"/>
            </w:rPr>
            <w:fldChar w:fldCharType="begin"/>
          </w:r>
          <w:r>
            <w:rPr>
              <w:bCs/>
              <w:lang w:val="zh-CN"/>
            </w:rPr>
            <w:instrText xml:space="preserve"> HYPERLINK \l _Toc6560 </w:instrText>
          </w:r>
          <w:r>
            <w:rPr>
              <w:bCs/>
              <w:lang w:val="zh-CN"/>
            </w:rPr>
            <w:fldChar w:fldCharType="separate"/>
          </w:r>
          <w:r>
            <w:rPr>
              <w:rFonts w:ascii="Georgia" w:hAnsi="Georgia"/>
              <w:spacing w:val="-12"/>
            </w:rPr>
            <w:t xml:space="preserve">12.  </w:t>
          </w:r>
          <w:r>
            <w:rPr>
              <w:rFonts w:hint="eastAsia"/>
            </w:rPr>
            <w:t>英国关于海湾阿拉伯国家的情报档案， 1914-1948年</w:t>
          </w:r>
          <w:r>
            <w:tab/>
          </w:r>
          <w:r>
            <w:fldChar w:fldCharType="begin"/>
          </w:r>
          <w:r>
            <w:instrText xml:space="preserve"> PAGEREF _Toc6560 \h </w:instrText>
          </w:r>
          <w:r>
            <w:fldChar w:fldCharType="separate"/>
          </w:r>
          <w:r>
            <w:t>23</w:t>
          </w:r>
          <w:r>
            <w:fldChar w:fldCharType="end"/>
          </w:r>
          <w:r>
            <w:rPr>
              <w:bCs/>
              <w:lang w:val="zh-CN"/>
            </w:rPr>
            <w:fldChar w:fldCharType="end"/>
          </w:r>
        </w:p>
        <w:p w14:paraId="175D024C">
          <w:pPr>
            <w:pStyle w:val="6"/>
            <w:tabs>
              <w:tab w:val="right" w:leader="dot" w:pos="8306"/>
            </w:tabs>
          </w:pPr>
          <w:r>
            <w:rPr>
              <w:bCs/>
              <w:lang w:val="zh-CN"/>
            </w:rPr>
            <w:fldChar w:fldCharType="begin"/>
          </w:r>
          <w:r>
            <w:rPr>
              <w:bCs/>
              <w:lang w:val="zh-CN"/>
            </w:rPr>
            <w:instrText xml:space="preserve"> HYPERLINK \l _Toc9767 </w:instrText>
          </w:r>
          <w:r>
            <w:rPr>
              <w:bCs/>
              <w:lang w:val="zh-CN"/>
            </w:rPr>
            <w:fldChar w:fldCharType="separate"/>
          </w:r>
          <w:r>
            <w:rPr>
              <w:rFonts w:ascii="Georgia" w:hAnsi="Georgia"/>
              <w:spacing w:val="-12"/>
            </w:rPr>
            <w:t>13.</w:t>
          </w:r>
          <w:r>
            <w:rPr>
              <w:rFonts w:hint="eastAsia"/>
            </w:rPr>
            <w:t xml:space="preserve"> 英国关于西北边境的情报档案， 1901-1949年</w:t>
          </w:r>
          <w:r>
            <w:tab/>
          </w:r>
          <w:r>
            <w:fldChar w:fldCharType="begin"/>
          </w:r>
          <w:r>
            <w:instrText xml:space="preserve"> PAGEREF _Toc9767 \h </w:instrText>
          </w:r>
          <w:r>
            <w:fldChar w:fldCharType="separate"/>
          </w:r>
          <w:r>
            <w:t>27</w:t>
          </w:r>
          <w:r>
            <w:fldChar w:fldCharType="end"/>
          </w:r>
          <w:r>
            <w:rPr>
              <w:bCs/>
              <w:lang w:val="zh-CN"/>
            </w:rPr>
            <w:fldChar w:fldCharType="end"/>
          </w:r>
        </w:p>
        <w:p w14:paraId="40AE86CA">
          <w:pPr>
            <w:pStyle w:val="6"/>
            <w:tabs>
              <w:tab w:val="right" w:leader="dot" w:pos="8306"/>
            </w:tabs>
          </w:pPr>
          <w:r>
            <w:rPr>
              <w:bCs/>
              <w:lang w:val="zh-CN"/>
            </w:rPr>
            <w:fldChar w:fldCharType="begin"/>
          </w:r>
          <w:r>
            <w:rPr>
              <w:bCs/>
              <w:lang w:val="zh-CN"/>
            </w:rPr>
            <w:instrText xml:space="preserve"> HYPERLINK \l _Toc14721 </w:instrText>
          </w:r>
          <w:r>
            <w:rPr>
              <w:bCs/>
              <w:lang w:val="zh-CN"/>
            </w:rPr>
            <w:fldChar w:fldCharType="separate"/>
          </w:r>
          <w:r>
            <w:rPr>
              <w:rFonts w:ascii="Georgia" w:hAnsi="Georgia"/>
              <w:spacing w:val="-12"/>
            </w:rPr>
            <w:t>14.</w:t>
          </w:r>
          <w:r>
            <w:t xml:space="preserve"> </w:t>
          </w:r>
          <w:r>
            <w:rPr>
              <w:rFonts w:hint="eastAsia"/>
            </w:rPr>
            <w:t>英国关于也门的情报档案， 1880-1967年</w:t>
          </w:r>
          <w:r>
            <w:tab/>
          </w:r>
          <w:r>
            <w:fldChar w:fldCharType="begin"/>
          </w:r>
          <w:r>
            <w:instrText xml:space="preserve"> PAGEREF _Toc14721 \h </w:instrText>
          </w:r>
          <w:r>
            <w:fldChar w:fldCharType="separate"/>
          </w:r>
          <w:r>
            <w:t>31</w:t>
          </w:r>
          <w:r>
            <w:fldChar w:fldCharType="end"/>
          </w:r>
          <w:r>
            <w:rPr>
              <w:bCs/>
              <w:lang w:val="zh-CN"/>
            </w:rPr>
            <w:fldChar w:fldCharType="end"/>
          </w:r>
        </w:p>
        <w:p w14:paraId="57F525AB">
          <w:pPr>
            <w:pStyle w:val="6"/>
            <w:tabs>
              <w:tab w:val="right" w:leader="dot" w:pos="8306"/>
            </w:tabs>
          </w:pPr>
          <w:r>
            <w:rPr>
              <w:bCs/>
              <w:lang w:val="zh-CN"/>
            </w:rPr>
            <w:fldChar w:fldCharType="begin"/>
          </w:r>
          <w:r>
            <w:rPr>
              <w:bCs/>
              <w:lang w:val="zh-CN"/>
            </w:rPr>
            <w:instrText xml:space="preserve"> HYPERLINK \l _Toc9943 </w:instrText>
          </w:r>
          <w:r>
            <w:rPr>
              <w:bCs/>
              <w:lang w:val="zh-CN"/>
            </w:rPr>
            <w:fldChar w:fldCharType="separate"/>
          </w:r>
          <w:r>
            <w:rPr>
              <w:rFonts w:ascii="Georgia" w:hAnsi="Georgia"/>
              <w:spacing w:val="-12"/>
            </w:rPr>
            <w:t>15.</w:t>
          </w:r>
          <w:r>
            <w:rPr>
              <w:rFonts w:hint="eastAsia"/>
            </w:rPr>
            <w:t xml:space="preserve"> 划分英属缅甸， 1826-1949年</w:t>
          </w:r>
          <w:r>
            <w:tab/>
          </w:r>
          <w:r>
            <w:fldChar w:fldCharType="begin"/>
          </w:r>
          <w:r>
            <w:instrText xml:space="preserve"> PAGEREF _Toc9943 \h </w:instrText>
          </w:r>
          <w:r>
            <w:fldChar w:fldCharType="separate"/>
          </w:r>
          <w:r>
            <w:t>33</w:t>
          </w:r>
          <w:r>
            <w:fldChar w:fldCharType="end"/>
          </w:r>
          <w:r>
            <w:rPr>
              <w:bCs/>
              <w:lang w:val="zh-CN"/>
            </w:rPr>
            <w:fldChar w:fldCharType="end"/>
          </w:r>
        </w:p>
        <w:p w14:paraId="2F597DE9">
          <w:pPr>
            <w:pStyle w:val="6"/>
            <w:tabs>
              <w:tab w:val="right" w:leader="dot" w:pos="8306"/>
            </w:tabs>
          </w:pPr>
          <w:r>
            <w:rPr>
              <w:bCs/>
              <w:lang w:val="zh-CN"/>
            </w:rPr>
            <w:fldChar w:fldCharType="begin"/>
          </w:r>
          <w:r>
            <w:rPr>
              <w:bCs/>
              <w:lang w:val="zh-CN"/>
            </w:rPr>
            <w:instrText xml:space="preserve"> HYPERLINK \l _Toc12826 </w:instrText>
          </w:r>
          <w:r>
            <w:rPr>
              <w:bCs/>
              <w:lang w:val="zh-CN"/>
            </w:rPr>
            <w:fldChar w:fldCharType="separate"/>
          </w:r>
          <w:r>
            <w:rPr>
              <w:rFonts w:ascii="Georgia" w:hAnsi="Georgia"/>
              <w:spacing w:val="-12"/>
            </w:rPr>
            <w:t xml:space="preserve">16. </w:t>
          </w:r>
          <w:r>
            <w:rPr>
              <w:rFonts w:hint="eastAsia"/>
            </w:rPr>
            <w:t>印度政治情报文件，1912-1950年</w:t>
          </w:r>
          <w:r>
            <w:tab/>
          </w:r>
          <w:r>
            <w:fldChar w:fldCharType="begin"/>
          </w:r>
          <w:r>
            <w:instrText xml:space="preserve"> PAGEREF _Toc12826 \h </w:instrText>
          </w:r>
          <w:r>
            <w:fldChar w:fldCharType="separate"/>
          </w:r>
          <w:r>
            <w:t>36</w:t>
          </w:r>
          <w:r>
            <w:fldChar w:fldCharType="end"/>
          </w:r>
          <w:r>
            <w:rPr>
              <w:bCs/>
              <w:lang w:val="zh-CN"/>
            </w:rPr>
            <w:fldChar w:fldCharType="end"/>
          </w:r>
        </w:p>
        <w:p w14:paraId="08D1EF22">
          <w:pPr>
            <w:pStyle w:val="6"/>
            <w:tabs>
              <w:tab w:val="right" w:leader="dot" w:pos="8306"/>
            </w:tabs>
          </w:pPr>
          <w:r>
            <w:rPr>
              <w:bCs/>
              <w:lang w:val="zh-CN"/>
            </w:rPr>
            <w:fldChar w:fldCharType="begin"/>
          </w:r>
          <w:r>
            <w:rPr>
              <w:bCs/>
              <w:lang w:val="zh-CN"/>
            </w:rPr>
            <w:instrText xml:space="preserve"> HYPERLINK \l _Toc31280 </w:instrText>
          </w:r>
          <w:r>
            <w:rPr>
              <w:bCs/>
              <w:lang w:val="zh-CN"/>
            </w:rPr>
            <w:fldChar w:fldCharType="separate"/>
          </w:r>
          <w:r>
            <w:rPr>
              <w:rFonts w:ascii="Georgia" w:hAnsi="Georgia"/>
              <w:spacing w:val="-12"/>
            </w:rPr>
            <w:t xml:space="preserve">17. </w:t>
          </w:r>
          <w:r>
            <w:rPr>
              <w:rFonts w:hint="eastAsia"/>
            </w:rPr>
            <w:t>现代伊拉克的建立，约1914年-1921年</w:t>
          </w:r>
          <w:r>
            <w:tab/>
          </w:r>
          <w:r>
            <w:fldChar w:fldCharType="begin"/>
          </w:r>
          <w:r>
            <w:instrText xml:space="preserve"> PAGEREF _Toc31280 \h </w:instrText>
          </w:r>
          <w:r>
            <w:fldChar w:fldCharType="separate"/>
          </w:r>
          <w:r>
            <w:t>38</w:t>
          </w:r>
          <w:r>
            <w:fldChar w:fldCharType="end"/>
          </w:r>
          <w:r>
            <w:rPr>
              <w:bCs/>
              <w:lang w:val="zh-CN"/>
            </w:rPr>
            <w:fldChar w:fldCharType="end"/>
          </w:r>
        </w:p>
        <w:p w14:paraId="077B5189">
          <w:pPr>
            <w:pStyle w:val="6"/>
            <w:tabs>
              <w:tab w:val="right" w:leader="dot" w:pos="8306"/>
            </w:tabs>
          </w:pPr>
          <w:r>
            <w:rPr>
              <w:bCs/>
              <w:lang w:val="zh-CN"/>
            </w:rPr>
            <w:fldChar w:fldCharType="begin"/>
          </w:r>
          <w:r>
            <w:rPr>
              <w:bCs/>
              <w:lang w:val="zh-CN"/>
            </w:rPr>
            <w:instrText xml:space="preserve"> HYPERLINK \l _Toc31038 </w:instrText>
          </w:r>
          <w:r>
            <w:rPr>
              <w:bCs/>
              <w:lang w:val="zh-CN"/>
            </w:rPr>
            <w:fldChar w:fldCharType="separate"/>
          </w:r>
          <w:r>
            <w:rPr>
              <w:rFonts w:ascii="Georgia" w:hAnsi="Georgia"/>
              <w:spacing w:val="-12"/>
            </w:rPr>
            <w:t xml:space="preserve">18. </w:t>
          </w:r>
          <w:r>
            <w:rPr>
              <w:rFonts w:hint="eastAsia"/>
            </w:rPr>
            <w:t>现代沙特阿拉伯的建立，约1914-1939年</w:t>
          </w:r>
          <w:r>
            <w:tab/>
          </w:r>
          <w:r>
            <w:fldChar w:fldCharType="begin"/>
          </w:r>
          <w:r>
            <w:instrText xml:space="preserve"> PAGEREF _Toc31038 \h </w:instrText>
          </w:r>
          <w:r>
            <w:fldChar w:fldCharType="separate"/>
          </w:r>
          <w:r>
            <w:t>41</w:t>
          </w:r>
          <w:r>
            <w:fldChar w:fldCharType="end"/>
          </w:r>
          <w:r>
            <w:rPr>
              <w:bCs/>
              <w:lang w:val="zh-CN"/>
            </w:rPr>
            <w:fldChar w:fldCharType="end"/>
          </w:r>
        </w:p>
        <w:p w14:paraId="7D4318B7">
          <w:pPr>
            <w:pStyle w:val="6"/>
            <w:tabs>
              <w:tab w:val="right" w:leader="dot" w:pos="8306"/>
            </w:tabs>
          </w:pPr>
          <w:r>
            <w:rPr>
              <w:bCs/>
              <w:lang w:val="zh-CN"/>
            </w:rPr>
            <w:fldChar w:fldCharType="begin"/>
          </w:r>
          <w:r>
            <w:rPr>
              <w:bCs/>
              <w:lang w:val="zh-CN"/>
            </w:rPr>
            <w:instrText xml:space="preserve"> HYPERLINK \l _Toc30552 </w:instrText>
          </w:r>
          <w:r>
            <w:rPr>
              <w:bCs/>
              <w:lang w:val="zh-CN"/>
            </w:rPr>
            <w:fldChar w:fldCharType="separate"/>
          </w:r>
          <w:r>
            <w:rPr>
              <w:rFonts w:ascii="Georgia" w:hAnsi="Georgia"/>
              <w:spacing w:val="-12"/>
            </w:rPr>
            <w:t>19.</w:t>
          </w:r>
          <w:r>
            <w:rPr>
              <w:rFonts w:hint="eastAsia"/>
            </w:rPr>
            <w:t xml:space="preserve"> 现代土耳其的建立，约1906-1939年</w:t>
          </w:r>
          <w:r>
            <w:tab/>
          </w:r>
          <w:r>
            <w:fldChar w:fldCharType="begin"/>
          </w:r>
          <w:r>
            <w:instrText xml:space="preserve"> PAGEREF _Toc30552 \h </w:instrText>
          </w:r>
          <w:r>
            <w:fldChar w:fldCharType="separate"/>
          </w:r>
          <w:r>
            <w:t>44</w:t>
          </w:r>
          <w:r>
            <w:fldChar w:fldCharType="end"/>
          </w:r>
          <w:r>
            <w:rPr>
              <w:bCs/>
              <w:lang w:val="zh-CN"/>
            </w:rPr>
            <w:fldChar w:fldCharType="end"/>
          </w:r>
        </w:p>
        <w:p w14:paraId="5831D73E">
          <w:r>
            <w:rPr>
              <w:bCs/>
              <w:lang w:val="zh-CN"/>
            </w:rPr>
            <w:fldChar w:fldCharType="end"/>
          </w:r>
        </w:p>
      </w:sdtContent>
    </w:sdt>
    <w:p w14:paraId="15E705DB">
      <w:pPr>
        <w:widowControl/>
        <w:jc w:val="left"/>
      </w:pPr>
      <w:r>
        <w:br w:type="page"/>
      </w:r>
    </w:p>
    <w:p w14:paraId="5BF5C55F">
      <w:pPr>
        <w:pStyle w:val="2"/>
        <w:rPr>
          <w:rFonts w:ascii="Georgia" w:hAnsi="Georgia"/>
          <w:color w:val="005329"/>
          <w:spacing w:val="-12"/>
        </w:rPr>
      </w:pPr>
      <w:bookmarkStart w:id="2" w:name="_Toc30898"/>
      <w:r>
        <w:rPr>
          <w:rFonts w:ascii="Georgia" w:hAnsi="Georgia"/>
          <w:color w:val="005329"/>
          <w:spacing w:val="-12"/>
        </w:rPr>
        <w:t xml:space="preserve">1. </w:t>
      </w:r>
      <w:r>
        <w:rPr>
          <w:rFonts w:hint="eastAsia"/>
        </w:rPr>
        <w:t>美国亚洲情报解密在线，1945-1991</w:t>
      </w:r>
      <w:bookmarkEnd w:id="2"/>
    </w:p>
    <w:p w14:paraId="052F47BF">
      <w:pPr>
        <w:widowControl/>
        <w:wordWrap w:val="0"/>
        <w:spacing w:line="360" w:lineRule="auto"/>
        <w:ind w:firstLine="480"/>
        <w:textAlignment w:val="baseline"/>
        <w:rPr>
          <w:sz w:val="24"/>
          <w:szCs w:val="24"/>
        </w:rPr>
      </w:pPr>
      <w:r>
        <w:rPr>
          <w:rFonts w:ascii="inherit" w:hAnsi="inherit" w:eastAsia="宋体" w:cs="宋体"/>
          <w:b/>
          <w:bCs/>
          <w:color w:val="555555"/>
          <w:kern w:val="0"/>
          <w:sz w:val="24"/>
          <w:szCs w:val="24"/>
        </w:rPr>
        <w:t>数据库网址：</w:t>
      </w:r>
      <w:r>
        <w:rPr>
          <w:sz w:val="24"/>
          <w:szCs w:val="24"/>
        </w:rPr>
        <w:fldChar w:fldCharType="begin"/>
      </w:r>
      <w:r>
        <w:rPr>
          <w:sz w:val="24"/>
          <w:szCs w:val="24"/>
        </w:rPr>
        <w:instrText xml:space="preserve"> HYPERLINK "https://primarysources.brillonline.com/browse/us-intelligence-on-asia" </w:instrText>
      </w:r>
      <w:r>
        <w:rPr>
          <w:sz w:val="24"/>
          <w:szCs w:val="24"/>
        </w:rPr>
        <w:fldChar w:fldCharType="separate"/>
      </w:r>
      <w:r>
        <w:rPr>
          <w:rStyle w:val="12"/>
          <w:sz w:val="24"/>
          <w:szCs w:val="24"/>
        </w:rPr>
        <w:t>https://primarysources.brillonline.com/browse/us-intelligence-on-asia</w:t>
      </w:r>
      <w:r>
        <w:rPr>
          <w:sz w:val="24"/>
          <w:szCs w:val="24"/>
        </w:rPr>
        <w:fldChar w:fldCharType="end"/>
      </w:r>
    </w:p>
    <w:p w14:paraId="222B8793">
      <w:pPr>
        <w:widowControl/>
        <w:wordWrap w:val="0"/>
        <w:spacing w:line="360" w:lineRule="auto"/>
        <w:ind w:firstLine="480"/>
        <w:textAlignment w:val="baseline"/>
        <w:rPr>
          <w:rFonts w:hint="eastAsia" w:ascii="inherit" w:hAnsi="inherit" w:eastAsia="宋体" w:cs="宋体"/>
          <w:bCs/>
          <w:color w:val="FF0000"/>
          <w:kern w:val="0"/>
          <w:sz w:val="24"/>
          <w:szCs w:val="24"/>
        </w:rPr>
      </w:pPr>
      <w:r>
        <w:rPr>
          <w:rFonts w:ascii="inherit" w:hAnsi="inherit" w:eastAsia="宋体" w:cs="宋体"/>
          <w:b/>
          <w:bCs/>
          <w:color w:val="555555"/>
          <w:kern w:val="0"/>
          <w:sz w:val="24"/>
          <w:szCs w:val="24"/>
        </w:rPr>
        <w:t xml:space="preserve">数据库简介： </w:t>
      </w:r>
    </w:p>
    <w:p w14:paraId="33F9F949">
      <w:pPr>
        <w:spacing w:after="120" w:line="360" w:lineRule="auto"/>
        <w:ind w:firstLine="480" w:firstLineChars="200"/>
        <w:rPr>
          <w:sz w:val="24"/>
          <w:szCs w:val="24"/>
          <w:lang w:val="zh-CN"/>
        </w:rPr>
      </w:pPr>
      <w:r>
        <w:rPr>
          <w:rFonts w:hint="eastAsia"/>
          <w:sz w:val="24"/>
          <w:szCs w:val="24"/>
          <w:lang w:val="zh-CN"/>
        </w:rPr>
        <w:t>这个独特的在线收藏的目的是为学生和研究人员提供关于冷战期间(1945-1991)美国远东情报机构的成功和失败的解密文件记录。特别强调了美国在冷战时期在亚洲的主要对手：中华人民共和国、朝鲜和北越。然而，日本、台湾、印度尼西亚、泰国、菲律宾、马来西亚、新加坡和澳大利亚等国家也包括在内。</w:t>
      </w:r>
    </w:p>
    <w:p w14:paraId="17DD3818">
      <w:pPr>
        <w:spacing w:after="120" w:line="360" w:lineRule="auto"/>
        <w:ind w:firstLine="480" w:firstLineChars="200"/>
        <w:rPr>
          <w:b/>
          <w:bCs/>
          <w:sz w:val="24"/>
          <w:szCs w:val="24"/>
          <w:lang w:val="zh-CN"/>
        </w:rPr>
      </w:pPr>
      <w:r>
        <w:rPr>
          <w:rFonts w:hint="eastAsia"/>
          <w:b/>
          <w:bCs/>
          <w:sz w:val="24"/>
          <w:szCs w:val="24"/>
          <w:lang w:val="zh-CN"/>
        </w:rPr>
        <w:t>档案来源:</w:t>
      </w:r>
    </w:p>
    <w:p w14:paraId="1CBDAAA4">
      <w:pPr>
        <w:pStyle w:val="15"/>
        <w:numPr>
          <w:ilvl w:val="0"/>
          <w:numId w:val="1"/>
        </w:numPr>
        <w:spacing w:line="360" w:lineRule="auto"/>
        <w:contextualSpacing w:val="0"/>
        <w:rPr>
          <w:sz w:val="24"/>
          <w:szCs w:val="24"/>
          <w:lang w:val="zh-CN"/>
        </w:rPr>
      </w:pPr>
      <w:r>
        <w:rPr>
          <w:rFonts w:hint="eastAsia"/>
          <w:sz w:val="24"/>
          <w:szCs w:val="24"/>
          <w:lang w:val="zh-CN"/>
        </w:rPr>
        <w:t>国家档案和记录管理局(NARA)，学院公园，马里兰州</w:t>
      </w:r>
    </w:p>
    <w:p w14:paraId="334818B7">
      <w:pPr>
        <w:pStyle w:val="15"/>
        <w:numPr>
          <w:ilvl w:val="0"/>
          <w:numId w:val="1"/>
        </w:numPr>
        <w:spacing w:line="360" w:lineRule="auto"/>
        <w:contextualSpacing w:val="0"/>
        <w:rPr>
          <w:sz w:val="24"/>
          <w:szCs w:val="24"/>
          <w:lang w:val="zh-CN"/>
        </w:rPr>
      </w:pPr>
      <w:r>
        <w:rPr>
          <w:rFonts w:hint="eastAsia"/>
          <w:sz w:val="24"/>
          <w:szCs w:val="24"/>
          <w:lang w:val="zh-CN"/>
        </w:rPr>
        <w:t>CIA-CREST数据库</w:t>
      </w:r>
    </w:p>
    <w:p w14:paraId="6FE8F4BA">
      <w:pPr>
        <w:pStyle w:val="15"/>
        <w:numPr>
          <w:ilvl w:val="0"/>
          <w:numId w:val="1"/>
        </w:numPr>
        <w:spacing w:line="360" w:lineRule="auto"/>
        <w:contextualSpacing w:val="0"/>
        <w:rPr>
          <w:sz w:val="24"/>
          <w:szCs w:val="24"/>
          <w:lang w:val="zh-CN"/>
        </w:rPr>
      </w:pPr>
      <w:r>
        <w:rPr>
          <w:rFonts w:hint="eastAsia"/>
          <w:sz w:val="24"/>
          <w:szCs w:val="24"/>
          <w:lang w:val="zh-CN"/>
        </w:rPr>
        <w:t>哈里·s·杜鲁门图书馆，密苏里州</w:t>
      </w:r>
    </w:p>
    <w:p w14:paraId="57017203">
      <w:pPr>
        <w:pStyle w:val="15"/>
        <w:numPr>
          <w:ilvl w:val="0"/>
          <w:numId w:val="1"/>
        </w:numPr>
        <w:spacing w:line="360" w:lineRule="auto"/>
        <w:contextualSpacing w:val="0"/>
        <w:rPr>
          <w:sz w:val="24"/>
          <w:szCs w:val="24"/>
          <w:lang w:val="zh-CN"/>
        </w:rPr>
      </w:pPr>
      <w:r>
        <w:rPr>
          <w:rFonts w:hint="eastAsia"/>
          <w:sz w:val="24"/>
          <w:szCs w:val="24"/>
          <w:lang w:val="zh-CN"/>
        </w:rPr>
        <w:t>德怀特·d·艾森豪威尔图书馆，堪萨斯州阿比林</w:t>
      </w:r>
    </w:p>
    <w:p w14:paraId="6D7FD366">
      <w:pPr>
        <w:pStyle w:val="15"/>
        <w:numPr>
          <w:ilvl w:val="0"/>
          <w:numId w:val="1"/>
        </w:numPr>
        <w:spacing w:line="360" w:lineRule="auto"/>
        <w:contextualSpacing w:val="0"/>
        <w:rPr>
          <w:sz w:val="24"/>
          <w:szCs w:val="24"/>
          <w:lang w:val="zh-CN"/>
        </w:rPr>
      </w:pPr>
      <w:r>
        <w:rPr>
          <w:rFonts w:hint="eastAsia"/>
          <w:sz w:val="24"/>
          <w:szCs w:val="24"/>
          <w:lang w:val="zh-CN"/>
        </w:rPr>
        <w:t>马萨诸塞州波士顿肯尼迪图书馆</w:t>
      </w:r>
    </w:p>
    <w:p w14:paraId="5BDDE8FD">
      <w:pPr>
        <w:pStyle w:val="15"/>
        <w:numPr>
          <w:ilvl w:val="0"/>
          <w:numId w:val="1"/>
        </w:numPr>
        <w:spacing w:line="360" w:lineRule="auto"/>
        <w:contextualSpacing w:val="0"/>
        <w:rPr>
          <w:sz w:val="24"/>
          <w:szCs w:val="24"/>
          <w:lang w:val="zh-CN"/>
        </w:rPr>
      </w:pPr>
      <w:r>
        <w:rPr>
          <w:rFonts w:hint="eastAsia"/>
          <w:sz w:val="24"/>
          <w:szCs w:val="24"/>
          <w:lang w:val="zh-CN"/>
        </w:rPr>
        <w:t>林登·约翰逊图书馆，奥斯汀，德克萨斯</w:t>
      </w:r>
    </w:p>
    <w:p w14:paraId="6B401257">
      <w:pPr>
        <w:pStyle w:val="15"/>
        <w:numPr>
          <w:ilvl w:val="0"/>
          <w:numId w:val="1"/>
        </w:numPr>
        <w:spacing w:line="360" w:lineRule="auto"/>
        <w:contextualSpacing w:val="0"/>
        <w:rPr>
          <w:sz w:val="24"/>
          <w:szCs w:val="24"/>
          <w:lang w:val="zh-CN"/>
        </w:rPr>
      </w:pPr>
      <w:r>
        <w:rPr>
          <w:rFonts w:hint="eastAsia"/>
          <w:sz w:val="24"/>
          <w:szCs w:val="24"/>
          <w:lang w:val="zh-CN"/>
        </w:rPr>
        <w:t>理查德·m·尼克松总统图书馆，约巴林达，加利福尼亚州</w:t>
      </w:r>
    </w:p>
    <w:p w14:paraId="140C8B0B">
      <w:pPr>
        <w:pStyle w:val="15"/>
        <w:numPr>
          <w:ilvl w:val="0"/>
          <w:numId w:val="1"/>
        </w:numPr>
        <w:spacing w:line="360" w:lineRule="auto"/>
        <w:contextualSpacing w:val="0"/>
        <w:rPr>
          <w:sz w:val="24"/>
          <w:szCs w:val="24"/>
          <w:lang w:val="zh-CN"/>
        </w:rPr>
      </w:pPr>
      <w:r>
        <w:rPr>
          <w:rFonts w:hint="eastAsia"/>
          <w:sz w:val="24"/>
          <w:szCs w:val="24"/>
          <w:lang w:val="zh-CN"/>
        </w:rPr>
        <w:t>杰拉尔德·福特图书馆，安阿伯，密歇根</w:t>
      </w:r>
    </w:p>
    <w:p w14:paraId="403EED27">
      <w:pPr>
        <w:pStyle w:val="15"/>
        <w:numPr>
          <w:ilvl w:val="0"/>
          <w:numId w:val="1"/>
        </w:numPr>
        <w:spacing w:line="360" w:lineRule="auto"/>
        <w:contextualSpacing w:val="0"/>
        <w:rPr>
          <w:sz w:val="24"/>
          <w:szCs w:val="24"/>
          <w:lang w:val="zh-CN"/>
        </w:rPr>
      </w:pPr>
      <w:r>
        <w:rPr>
          <w:rFonts w:hint="eastAsia"/>
          <w:sz w:val="24"/>
          <w:szCs w:val="24"/>
          <w:lang w:val="zh-CN"/>
        </w:rPr>
        <w:t>吉米·卡特总统图书馆，佐治亚州亚特兰大</w:t>
      </w:r>
    </w:p>
    <w:p w14:paraId="491CC7EF">
      <w:pPr>
        <w:pStyle w:val="15"/>
        <w:numPr>
          <w:ilvl w:val="0"/>
          <w:numId w:val="1"/>
        </w:numPr>
        <w:spacing w:line="360" w:lineRule="auto"/>
        <w:contextualSpacing w:val="0"/>
        <w:rPr>
          <w:sz w:val="24"/>
          <w:szCs w:val="24"/>
          <w:lang w:val="zh-CN"/>
        </w:rPr>
      </w:pPr>
      <w:r>
        <w:rPr>
          <w:rFonts w:hint="eastAsia"/>
          <w:sz w:val="24"/>
          <w:szCs w:val="24"/>
          <w:lang w:val="zh-CN"/>
        </w:rPr>
        <w:t>罗纳德·里根总统图书馆，西米谷，加利福尼亚</w:t>
      </w:r>
    </w:p>
    <w:p w14:paraId="702F02B3">
      <w:pPr>
        <w:pStyle w:val="15"/>
        <w:numPr>
          <w:ilvl w:val="0"/>
          <w:numId w:val="1"/>
        </w:numPr>
        <w:spacing w:line="360" w:lineRule="auto"/>
        <w:contextualSpacing w:val="0"/>
        <w:rPr>
          <w:sz w:val="24"/>
          <w:szCs w:val="24"/>
          <w:lang w:val="zh-CN"/>
        </w:rPr>
      </w:pPr>
      <w:r>
        <w:rPr>
          <w:rFonts w:hint="eastAsia"/>
          <w:sz w:val="24"/>
          <w:szCs w:val="24"/>
          <w:lang w:val="zh-CN"/>
        </w:rPr>
        <w:t>美国国会图书馆手稿部，华盛顿特区</w:t>
      </w:r>
    </w:p>
    <w:p w14:paraId="568775ED">
      <w:pPr>
        <w:pStyle w:val="15"/>
        <w:numPr>
          <w:ilvl w:val="0"/>
          <w:numId w:val="1"/>
        </w:numPr>
        <w:spacing w:line="360" w:lineRule="auto"/>
        <w:contextualSpacing w:val="0"/>
        <w:rPr>
          <w:sz w:val="24"/>
          <w:szCs w:val="24"/>
          <w:lang w:val="zh-CN"/>
        </w:rPr>
      </w:pPr>
      <w:r>
        <w:rPr>
          <w:rFonts w:hint="eastAsia"/>
          <w:sz w:val="24"/>
          <w:szCs w:val="24"/>
          <w:lang w:val="zh-CN"/>
        </w:rPr>
        <w:t>美国陆军军事历史中心，华盛顿特区</w:t>
      </w:r>
    </w:p>
    <w:p w14:paraId="25C3EA54">
      <w:pPr>
        <w:pStyle w:val="15"/>
        <w:numPr>
          <w:ilvl w:val="0"/>
          <w:numId w:val="1"/>
        </w:numPr>
        <w:spacing w:line="360" w:lineRule="auto"/>
        <w:contextualSpacing w:val="0"/>
        <w:rPr>
          <w:sz w:val="24"/>
          <w:szCs w:val="24"/>
          <w:lang w:val="zh-CN"/>
        </w:rPr>
      </w:pPr>
      <w:r>
        <w:rPr>
          <w:rFonts w:hint="eastAsia"/>
          <w:sz w:val="24"/>
          <w:szCs w:val="24"/>
          <w:lang w:val="zh-CN"/>
        </w:rPr>
        <w:t>美国空军历史研究局，阿拉巴马州麦克斯韦尔空军基地</w:t>
      </w:r>
    </w:p>
    <w:p w14:paraId="68015B33">
      <w:pPr>
        <w:pStyle w:val="15"/>
        <w:numPr>
          <w:ilvl w:val="0"/>
          <w:numId w:val="1"/>
        </w:numPr>
        <w:spacing w:line="360" w:lineRule="auto"/>
        <w:contextualSpacing w:val="0"/>
        <w:rPr>
          <w:sz w:val="24"/>
          <w:szCs w:val="24"/>
          <w:lang w:val="zh-CN"/>
        </w:rPr>
      </w:pPr>
      <w:r>
        <w:rPr>
          <w:rFonts w:hint="eastAsia"/>
          <w:sz w:val="24"/>
          <w:szCs w:val="24"/>
          <w:lang w:val="zh-CN"/>
        </w:rPr>
        <w:t>海军历史中心作战档案，华盛顿特区</w:t>
      </w:r>
    </w:p>
    <w:p w14:paraId="1714A6B2">
      <w:pPr>
        <w:pStyle w:val="15"/>
        <w:numPr>
          <w:ilvl w:val="0"/>
          <w:numId w:val="1"/>
        </w:numPr>
        <w:spacing w:line="360" w:lineRule="auto"/>
        <w:contextualSpacing w:val="0"/>
        <w:rPr>
          <w:sz w:val="24"/>
          <w:szCs w:val="24"/>
          <w:lang w:val="zh-CN"/>
        </w:rPr>
      </w:pPr>
      <w:r>
        <w:rPr>
          <w:rFonts w:hint="eastAsia"/>
          <w:sz w:val="24"/>
          <w:szCs w:val="24"/>
          <w:lang w:val="zh-CN"/>
        </w:rPr>
        <w:t>道格拉斯麦克阿瑟图书馆，诺福克，弗吉尼亚州</w:t>
      </w:r>
    </w:p>
    <w:p w14:paraId="0E4BB51D">
      <w:pPr>
        <w:pStyle w:val="15"/>
        <w:numPr>
          <w:ilvl w:val="0"/>
          <w:numId w:val="1"/>
        </w:numPr>
        <w:spacing w:line="360" w:lineRule="auto"/>
        <w:contextualSpacing w:val="0"/>
        <w:rPr>
          <w:sz w:val="24"/>
          <w:szCs w:val="24"/>
          <w:lang w:val="zh-CN"/>
        </w:rPr>
      </w:pPr>
      <w:r>
        <w:rPr>
          <w:rFonts w:hint="eastAsia"/>
          <w:sz w:val="24"/>
          <w:szCs w:val="24"/>
          <w:lang w:val="zh-CN"/>
        </w:rPr>
        <w:t>英国国家档案馆，英国基尤</w:t>
      </w:r>
    </w:p>
    <w:p w14:paraId="096FC0BA">
      <w:pPr>
        <w:pStyle w:val="15"/>
        <w:numPr>
          <w:ilvl w:val="0"/>
          <w:numId w:val="1"/>
        </w:numPr>
        <w:spacing w:line="360" w:lineRule="auto"/>
        <w:contextualSpacing w:val="0"/>
        <w:rPr>
          <w:sz w:val="24"/>
          <w:szCs w:val="24"/>
          <w:lang w:val="zh-CN"/>
        </w:rPr>
      </w:pPr>
      <w:r>
        <w:rPr>
          <w:rFonts w:hint="eastAsia"/>
          <w:sz w:val="24"/>
          <w:szCs w:val="24"/>
          <w:lang w:val="zh-CN"/>
        </w:rPr>
        <w:t>澳大利亚国家档案馆，堪培拉，澳大利亚</w:t>
      </w:r>
    </w:p>
    <w:p w14:paraId="1F4152F9">
      <w:pPr>
        <w:pStyle w:val="15"/>
        <w:numPr>
          <w:ilvl w:val="0"/>
          <w:numId w:val="1"/>
        </w:numPr>
        <w:spacing w:line="360" w:lineRule="auto"/>
        <w:contextualSpacing w:val="0"/>
        <w:rPr>
          <w:sz w:val="24"/>
          <w:szCs w:val="24"/>
          <w:lang w:val="zh-CN"/>
        </w:rPr>
      </w:pPr>
      <w:r>
        <w:rPr>
          <w:rFonts w:hint="eastAsia"/>
          <w:sz w:val="24"/>
          <w:szCs w:val="24"/>
          <w:lang w:val="zh-CN"/>
        </w:rPr>
        <w:t>越南档案馆，德克萨斯理工大学，卢伯克，德克萨斯</w:t>
      </w:r>
    </w:p>
    <w:p w14:paraId="2818E52A">
      <w:pPr>
        <w:pStyle w:val="15"/>
        <w:numPr>
          <w:ilvl w:val="0"/>
          <w:numId w:val="1"/>
        </w:numPr>
        <w:spacing w:line="360" w:lineRule="auto"/>
        <w:contextualSpacing w:val="0"/>
        <w:rPr>
          <w:sz w:val="24"/>
          <w:szCs w:val="24"/>
          <w:lang w:val="zh-CN"/>
        </w:rPr>
      </w:pPr>
      <w:r>
        <w:rPr>
          <w:rFonts w:hint="eastAsia"/>
          <w:sz w:val="24"/>
          <w:szCs w:val="24"/>
          <w:lang w:val="zh-CN"/>
        </w:rPr>
        <w:t>美国国防大学档案馆，华盛顿特区</w:t>
      </w:r>
    </w:p>
    <w:p w14:paraId="5E1C3367">
      <w:pPr>
        <w:pStyle w:val="15"/>
        <w:numPr>
          <w:ilvl w:val="0"/>
          <w:numId w:val="1"/>
        </w:numPr>
        <w:spacing w:line="360" w:lineRule="auto"/>
        <w:contextualSpacing w:val="0"/>
        <w:rPr>
          <w:sz w:val="24"/>
          <w:szCs w:val="24"/>
          <w:lang w:val="zh-CN"/>
        </w:rPr>
      </w:pPr>
      <w:r>
        <w:rPr>
          <w:rFonts w:hint="eastAsia"/>
          <w:sz w:val="24"/>
          <w:szCs w:val="24"/>
          <w:lang w:val="zh-CN"/>
        </w:rPr>
        <w:t>陆军战争学院档案，卡莱尔，宾夕法尼亚州</w:t>
      </w:r>
    </w:p>
    <w:p w14:paraId="1D303F6A">
      <w:pPr>
        <w:pStyle w:val="2"/>
        <w:rPr>
          <w:rFonts w:ascii="Georgia" w:hAnsi="Georgia"/>
          <w:color w:val="005329"/>
          <w:spacing w:val="-12"/>
        </w:rPr>
      </w:pPr>
      <w:bookmarkStart w:id="3" w:name="_Toc32477"/>
      <w:r>
        <w:rPr>
          <w:rFonts w:ascii="Georgia" w:hAnsi="Georgia"/>
          <w:color w:val="005329"/>
          <w:spacing w:val="-12"/>
        </w:rPr>
        <w:t>2.</w:t>
      </w:r>
      <w:r>
        <w:rPr>
          <w:rFonts w:hint="eastAsia"/>
        </w:rPr>
        <w:t xml:space="preserve"> 美国欧洲情报解密在线，1945-1995</w:t>
      </w:r>
      <w:bookmarkEnd w:id="3"/>
    </w:p>
    <w:p w14:paraId="7D5EAEB2">
      <w:pPr>
        <w:widowControl/>
        <w:wordWrap w:val="0"/>
        <w:spacing w:line="360" w:lineRule="auto"/>
        <w:ind w:firstLine="480"/>
        <w:textAlignment w:val="baseline"/>
        <w:rPr>
          <w:rFonts w:ascii="inherit" w:hAnsi="inherit" w:eastAsia="宋体" w:cs="宋体"/>
          <w:b/>
          <w:bCs/>
          <w:color w:val="555555"/>
          <w:kern w:val="0"/>
          <w:sz w:val="24"/>
          <w:szCs w:val="24"/>
        </w:rPr>
      </w:pPr>
      <w:r>
        <w:rPr>
          <w:rFonts w:ascii="inherit" w:hAnsi="inherit" w:eastAsia="宋体" w:cs="宋体"/>
          <w:b/>
          <w:bCs/>
          <w:color w:val="555555"/>
          <w:kern w:val="0"/>
          <w:sz w:val="24"/>
          <w:szCs w:val="24"/>
        </w:rPr>
        <w:t>数据库网址：</w:t>
      </w:r>
    </w:p>
    <w:p w14:paraId="22A62C18">
      <w:pPr>
        <w:widowControl/>
        <w:wordWrap w:val="0"/>
        <w:spacing w:line="360" w:lineRule="auto"/>
        <w:ind w:firstLine="480"/>
        <w:textAlignment w:val="baseline"/>
        <w:rPr>
          <w:sz w:val="24"/>
          <w:szCs w:val="24"/>
        </w:rPr>
      </w:pPr>
      <w:r>
        <w:fldChar w:fldCharType="begin"/>
      </w:r>
      <w:r>
        <w:instrText xml:space="preserve"> HYPERLINK "https://primarysources.brillonline.com/browse/us-intelligence-on-europe" </w:instrText>
      </w:r>
      <w:r>
        <w:fldChar w:fldCharType="separate"/>
      </w:r>
      <w:r>
        <w:rPr>
          <w:rStyle w:val="11"/>
          <w:sz w:val="24"/>
          <w:szCs w:val="24"/>
        </w:rPr>
        <w:t>https://primarysources.brillonline.com/browse/us-intelligence-on-europe</w:t>
      </w:r>
      <w:r>
        <w:rPr>
          <w:rStyle w:val="12"/>
          <w:sz w:val="24"/>
          <w:szCs w:val="24"/>
        </w:rPr>
        <w:fldChar w:fldCharType="end"/>
      </w:r>
    </w:p>
    <w:p w14:paraId="389EDAD6">
      <w:pPr>
        <w:widowControl/>
        <w:wordWrap w:val="0"/>
        <w:spacing w:line="360" w:lineRule="auto"/>
        <w:ind w:firstLine="480"/>
        <w:textAlignment w:val="baseline"/>
        <w:rPr>
          <w:rFonts w:hint="eastAsia" w:ascii="inherit" w:hAnsi="inherit" w:eastAsia="宋体" w:cs="宋体"/>
          <w:bCs/>
          <w:color w:val="FF0000"/>
          <w:kern w:val="0"/>
          <w:sz w:val="24"/>
          <w:szCs w:val="24"/>
        </w:rPr>
      </w:pPr>
      <w:r>
        <w:rPr>
          <w:rFonts w:ascii="inherit" w:hAnsi="inherit" w:eastAsia="宋体" w:cs="宋体"/>
          <w:b/>
          <w:bCs/>
          <w:color w:val="555555"/>
          <w:kern w:val="0"/>
          <w:sz w:val="24"/>
          <w:szCs w:val="24"/>
        </w:rPr>
        <w:t xml:space="preserve">数据库简介： </w:t>
      </w:r>
    </w:p>
    <w:p w14:paraId="2C66C217">
      <w:pPr>
        <w:spacing w:after="120" w:line="360" w:lineRule="auto"/>
        <w:ind w:firstLine="480" w:firstLineChars="200"/>
        <w:rPr>
          <w:sz w:val="24"/>
          <w:szCs w:val="24"/>
          <w:lang w:val="zh-CN"/>
        </w:rPr>
      </w:pPr>
      <w:r>
        <w:rPr>
          <w:rFonts w:hint="eastAsia"/>
          <w:sz w:val="24"/>
          <w:szCs w:val="24"/>
          <w:lang w:val="zh-CN"/>
        </w:rPr>
        <w:t>这份独特的档案收集了4000多份美国政府以前的机密文件，全面调查了美国情报机构在欧洲的活动，包括东欧、土耳其和塞浦路斯，涵盖了从二战结束到铁幕倒塌以及之后的时间。</w:t>
      </w:r>
    </w:p>
    <w:p w14:paraId="3A55503F">
      <w:pPr>
        <w:spacing w:after="120" w:line="360" w:lineRule="auto"/>
        <w:ind w:firstLine="480" w:firstLineChars="200"/>
        <w:rPr>
          <w:sz w:val="24"/>
          <w:szCs w:val="24"/>
          <w:lang w:val="zh-CN"/>
        </w:rPr>
      </w:pPr>
      <w:r>
        <w:rPr>
          <w:rFonts w:hint="eastAsia"/>
          <w:sz w:val="24"/>
          <w:szCs w:val="24"/>
          <w:lang w:val="zh-CN"/>
        </w:rPr>
        <w:t>所涉及到的内容：美国在西欧的情报行动；美国在东欧的情报行动；美国收集西欧共产党的情报；经济情报收集；在20世纪80年代监视欧洲的反核组织；收集有关恐怖组织的情报；欧洲社会经济发展分析。</w:t>
      </w:r>
    </w:p>
    <w:p w14:paraId="1E148495">
      <w:pPr>
        <w:spacing w:after="120" w:line="360" w:lineRule="auto"/>
        <w:ind w:firstLine="480" w:firstLineChars="200"/>
        <w:rPr>
          <w:b/>
          <w:bCs/>
          <w:sz w:val="24"/>
          <w:szCs w:val="24"/>
          <w:lang w:val="zh-CN"/>
        </w:rPr>
      </w:pPr>
      <w:r>
        <w:rPr>
          <w:rFonts w:hint="eastAsia"/>
          <w:b/>
          <w:bCs/>
          <w:sz w:val="24"/>
          <w:szCs w:val="24"/>
          <w:lang w:val="zh-CN"/>
        </w:rPr>
        <w:t>档案来源:</w:t>
      </w:r>
    </w:p>
    <w:p w14:paraId="5FAF79F5">
      <w:pPr>
        <w:pStyle w:val="15"/>
        <w:numPr>
          <w:ilvl w:val="0"/>
          <w:numId w:val="2"/>
        </w:numPr>
        <w:spacing w:line="360" w:lineRule="auto"/>
        <w:contextualSpacing w:val="0"/>
        <w:rPr>
          <w:sz w:val="24"/>
          <w:szCs w:val="24"/>
          <w:lang w:val="zh-CN"/>
        </w:rPr>
      </w:pPr>
      <w:r>
        <w:rPr>
          <w:rFonts w:hint="eastAsia"/>
          <w:sz w:val="24"/>
          <w:szCs w:val="24"/>
          <w:lang w:val="zh-CN"/>
        </w:rPr>
        <w:t>国家档案和记录管理局(NARA)，学院公园，马里兰州</w:t>
      </w:r>
    </w:p>
    <w:p w14:paraId="69E685C4">
      <w:pPr>
        <w:pStyle w:val="15"/>
        <w:numPr>
          <w:ilvl w:val="0"/>
          <w:numId w:val="2"/>
        </w:numPr>
        <w:spacing w:line="360" w:lineRule="auto"/>
        <w:contextualSpacing w:val="0"/>
        <w:rPr>
          <w:sz w:val="24"/>
          <w:szCs w:val="24"/>
          <w:lang w:val="zh-CN"/>
        </w:rPr>
      </w:pPr>
      <w:r>
        <w:rPr>
          <w:rFonts w:hint="eastAsia"/>
          <w:sz w:val="24"/>
          <w:szCs w:val="24"/>
          <w:lang w:val="zh-CN"/>
        </w:rPr>
        <w:t>CIA-CREST数据库</w:t>
      </w:r>
    </w:p>
    <w:p w14:paraId="4BA6A145">
      <w:pPr>
        <w:pStyle w:val="15"/>
        <w:numPr>
          <w:ilvl w:val="0"/>
          <w:numId w:val="2"/>
        </w:numPr>
        <w:spacing w:line="360" w:lineRule="auto"/>
        <w:contextualSpacing w:val="0"/>
        <w:rPr>
          <w:sz w:val="24"/>
          <w:szCs w:val="24"/>
          <w:lang w:val="zh-CN"/>
        </w:rPr>
      </w:pPr>
      <w:r>
        <w:rPr>
          <w:rFonts w:hint="eastAsia"/>
          <w:sz w:val="24"/>
          <w:szCs w:val="24"/>
          <w:lang w:val="zh-CN"/>
        </w:rPr>
        <w:t>哈里·s·杜鲁门图书馆，密苏里州独立</w:t>
      </w:r>
    </w:p>
    <w:p w14:paraId="5285B193">
      <w:pPr>
        <w:pStyle w:val="15"/>
        <w:numPr>
          <w:ilvl w:val="0"/>
          <w:numId w:val="2"/>
        </w:numPr>
        <w:spacing w:line="360" w:lineRule="auto"/>
        <w:contextualSpacing w:val="0"/>
        <w:rPr>
          <w:sz w:val="24"/>
          <w:szCs w:val="24"/>
          <w:lang w:val="zh-CN"/>
        </w:rPr>
      </w:pPr>
      <w:r>
        <w:rPr>
          <w:rFonts w:hint="eastAsia"/>
          <w:sz w:val="24"/>
          <w:szCs w:val="24"/>
          <w:lang w:val="zh-CN"/>
        </w:rPr>
        <w:t>德怀特·d·艾森豪威尔图书馆，堪萨斯州阿比林</w:t>
      </w:r>
    </w:p>
    <w:p w14:paraId="6DFA489D">
      <w:pPr>
        <w:pStyle w:val="15"/>
        <w:numPr>
          <w:ilvl w:val="0"/>
          <w:numId w:val="2"/>
        </w:numPr>
        <w:spacing w:line="360" w:lineRule="auto"/>
        <w:contextualSpacing w:val="0"/>
        <w:rPr>
          <w:sz w:val="24"/>
          <w:szCs w:val="24"/>
          <w:lang w:val="zh-CN"/>
        </w:rPr>
      </w:pPr>
      <w:r>
        <w:rPr>
          <w:rFonts w:hint="eastAsia"/>
          <w:sz w:val="24"/>
          <w:szCs w:val="24"/>
          <w:lang w:val="zh-CN"/>
        </w:rPr>
        <w:t>老布什图书馆，德克萨斯州休斯顿</w:t>
      </w:r>
    </w:p>
    <w:p w14:paraId="35C0A4AC">
      <w:pPr>
        <w:pStyle w:val="15"/>
        <w:numPr>
          <w:ilvl w:val="0"/>
          <w:numId w:val="2"/>
        </w:numPr>
        <w:spacing w:line="360" w:lineRule="auto"/>
        <w:contextualSpacing w:val="0"/>
        <w:rPr>
          <w:sz w:val="24"/>
          <w:szCs w:val="24"/>
          <w:lang w:val="zh-CN"/>
        </w:rPr>
      </w:pPr>
      <w:r>
        <w:rPr>
          <w:rFonts w:hint="eastAsia"/>
          <w:sz w:val="24"/>
          <w:szCs w:val="24"/>
          <w:lang w:val="zh-CN"/>
        </w:rPr>
        <w:t>马萨诸塞州波士顿肯尼迪图书馆</w:t>
      </w:r>
    </w:p>
    <w:p w14:paraId="3A7A3B38">
      <w:pPr>
        <w:pStyle w:val="15"/>
        <w:numPr>
          <w:ilvl w:val="0"/>
          <w:numId w:val="2"/>
        </w:numPr>
        <w:spacing w:line="360" w:lineRule="auto"/>
        <w:contextualSpacing w:val="0"/>
        <w:rPr>
          <w:sz w:val="24"/>
          <w:szCs w:val="24"/>
          <w:lang w:val="zh-CN"/>
        </w:rPr>
      </w:pPr>
      <w:r>
        <w:rPr>
          <w:rFonts w:hint="eastAsia"/>
          <w:sz w:val="24"/>
          <w:szCs w:val="24"/>
          <w:lang w:val="zh-CN"/>
        </w:rPr>
        <w:t>林登·约翰逊图书馆，奥斯汀，德克萨斯</w:t>
      </w:r>
    </w:p>
    <w:p w14:paraId="7E3E99EC">
      <w:pPr>
        <w:pStyle w:val="15"/>
        <w:numPr>
          <w:ilvl w:val="0"/>
          <w:numId w:val="2"/>
        </w:numPr>
        <w:spacing w:line="360" w:lineRule="auto"/>
        <w:contextualSpacing w:val="0"/>
        <w:rPr>
          <w:sz w:val="24"/>
          <w:szCs w:val="24"/>
          <w:lang w:val="zh-CN"/>
        </w:rPr>
      </w:pPr>
      <w:r>
        <w:rPr>
          <w:rFonts w:hint="eastAsia"/>
          <w:sz w:val="24"/>
          <w:szCs w:val="24"/>
          <w:lang w:val="zh-CN"/>
        </w:rPr>
        <w:t>理查德·m·尼克松总统图书馆，约巴林达，加利福尼亚州</w:t>
      </w:r>
    </w:p>
    <w:p w14:paraId="42A3F6FC">
      <w:pPr>
        <w:pStyle w:val="15"/>
        <w:numPr>
          <w:ilvl w:val="0"/>
          <w:numId w:val="2"/>
        </w:numPr>
        <w:spacing w:line="360" w:lineRule="auto"/>
        <w:contextualSpacing w:val="0"/>
        <w:rPr>
          <w:sz w:val="24"/>
          <w:szCs w:val="24"/>
          <w:lang w:val="zh-CN"/>
        </w:rPr>
      </w:pPr>
      <w:r>
        <w:rPr>
          <w:rFonts w:hint="eastAsia"/>
          <w:sz w:val="24"/>
          <w:szCs w:val="24"/>
          <w:lang w:val="zh-CN"/>
        </w:rPr>
        <w:t>杰拉尔德·福特图书馆，安阿伯，密歇根</w:t>
      </w:r>
    </w:p>
    <w:p w14:paraId="2746EBF4">
      <w:pPr>
        <w:pStyle w:val="15"/>
        <w:numPr>
          <w:ilvl w:val="0"/>
          <w:numId w:val="2"/>
        </w:numPr>
        <w:spacing w:line="360" w:lineRule="auto"/>
        <w:contextualSpacing w:val="0"/>
        <w:rPr>
          <w:sz w:val="24"/>
          <w:szCs w:val="24"/>
          <w:lang w:val="zh-CN"/>
        </w:rPr>
      </w:pPr>
      <w:r>
        <w:rPr>
          <w:rFonts w:hint="eastAsia"/>
          <w:sz w:val="24"/>
          <w:szCs w:val="24"/>
          <w:lang w:val="zh-CN"/>
        </w:rPr>
        <w:t>吉米·卡特总统图书馆，佐治亚州亚特兰大</w:t>
      </w:r>
    </w:p>
    <w:p w14:paraId="66D6B147">
      <w:pPr>
        <w:pStyle w:val="15"/>
        <w:numPr>
          <w:ilvl w:val="0"/>
          <w:numId w:val="2"/>
        </w:numPr>
        <w:spacing w:line="360" w:lineRule="auto"/>
        <w:contextualSpacing w:val="0"/>
        <w:rPr>
          <w:sz w:val="24"/>
          <w:szCs w:val="24"/>
          <w:lang w:val="zh-CN"/>
        </w:rPr>
      </w:pPr>
      <w:r>
        <w:rPr>
          <w:rFonts w:hint="eastAsia"/>
          <w:sz w:val="24"/>
          <w:szCs w:val="24"/>
          <w:lang w:val="zh-CN"/>
        </w:rPr>
        <w:t>罗纳德·里根总统图书馆，西米谷，加利福尼亚</w:t>
      </w:r>
    </w:p>
    <w:p w14:paraId="555BCF20">
      <w:pPr>
        <w:pStyle w:val="15"/>
        <w:numPr>
          <w:ilvl w:val="0"/>
          <w:numId w:val="2"/>
        </w:numPr>
        <w:spacing w:line="360" w:lineRule="auto"/>
        <w:contextualSpacing w:val="0"/>
        <w:rPr>
          <w:sz w:val="24"/>
          <w:szCs w:val="24"/>
          <w:lang w:val="zh-CN"/>
        </w:rPr>
      </w:pPr>
      <w:r>
        <w:rPr>
          <w:rFonts w:hint="eastAsia"/>
          <w:sz w:val="24"/>
          <w:szCs w:val="24"/>
          <w:lang w:val="zh-CN"/>
        </w:rPr>
        <w:t>加州帕洛阿尔托胡佛研究所档案馆</w:t>
      </w:r>
    </w:p>
    <w:p w14:paraId="3E25F2C4">
      <w:pPr>
        <w:pStyle w:val="15"/>
        <w:numPr>
          <w:ilvl w:val="0"/>
          <w:numId w:val="2"/>
        </w:numPr>
        <w:spacing w:line="360" w:lineRule="auto"/>
        <w:contextualSpacing w:val="0"/>
        <w:rPr>
          <w:sz w:val="24"/>
          <w:szCs w:val="24"/>
          <w:lang w:val="zh-CN"/>
        </w:rPr>
      </w:pPr>
      <w:r>
        <w:rPr>
          <w:rFonts w:hint="eastAsia"/>
          <w:sz w:val="24"/>
          <w:szCs w:val="24"/>
          <w:lang w:val="zh-CN"/>
        </w:rPr>
        <w:t>美国国会图书馆手稿部，华盛顿特区</w:t>
      </w:r>
    </w:p>
    <w:p w14:paraId="50DF1182">
      <w:pPr>
        <w:pStyle w:val="15"/>
        <w:numPr>
          <w:ilvl w:val="0"/>
          <w:numId w:val="2"/>
        </w:numPr>
        <w:spacing w:line="360" w:lineRule="auto"/>
        <w:contextualSpacing w:val="0"/>
        <w:rPr>
          <w:sz w:val="24"/>
          <w:szCs w:val="24"/>
          <w:lang w:val="zh-CN"/>
        </w:rPr>
      </w:pPr>
      <w:r>
        <w:rPr>
          <w:rFonts w:hint="eastAsia"/>
          <w:sz w:val="24"/>
          <w:szCs w:val="24"/>
          <w:lang w:val="zh-CN"/>
        </w:rPr>
        <w:t>乔治马歇尔研究图书馆，莱克星顿，弗吉尼亚州</w:t>
      </w:r>
    </w:p>
    <w:p w14:paraId="18AF8CEF">
      <w:pPr>
        <w:pStyle w:val="15"/>
        <w:numPr>
          <w:ilvl w:val="0"/>
          <w:numId w:val="2"/>
        </w:numPr>
        <w:spacing w:line="360" w:lineRule="auto"/>
        <w:contextualSpacing w:val="0"/>
        <w:rPr>
          <w:sz w:val="24"/>
          <w:szCs w:val="24"/>
          <w:lang w:val="zh-CN"/>
        </w:rPr>
      </w:pPr>
      <w:r>
        <w:rPr>
          <w:rFonts w:hint="eastAsia"/>
          <w:sz w:val="24"/>
          <w:szCs w:val="24"/>
          <w:lang w:val="zh-CN"/>
        </w:rPr>
        <w:t>道格拉斯·麦克阿瑟将军纪念图书馆，诺福克，弗吉尼亚州</w:t>
      </w:r>
    </w:p>
    <w:p w14:paraId="3A40E17E">
      <w:pPr>
        <w:pStyle w:val="15"/>
        <w:numPr>
          <w:ilvl w:val="0"/>
          <w:numId w:val="2"/>
        </w:numPr>
        <w:spacing w:line="360" w:lineRule="auto"/>
        <w:contextualSpacing w:val="0"/>
        <w:rPr>
          <w:sz w:val="24"/>
          <w:szCs w:val="24"/>
          <w:lang w:val="zh-CN"/>
        </w:rPr>
      </w:pPr>
      <w:r>
        <w:rPr>
          <w:rFonts w:hint="eastAsia"/>
          <w:sz w:val="24"/>
          <w:szCs w:val="24"/>
          <w:lang w:val="zh-CN"/>
        </w:rPr>
        <w:t>英国国家档案馆，英格兰邱园</w:t>
      </w:r>
    </w:p>
    <w:p w14:paraId="6FF7B7B1">
      <w:pPr>
        <w:pStyle w:val="2"/>
        <w:rPr>
          <w:rFonts w:ascii="Georgia" w:hAnsi="Georgia"/>
          <w:color w:val="005329"/>
          <w:spacing w:val="-12"/>
        </w:rPr>
      </w:pPr>
      <w:bookmarkStart w:id="4" w:name="_Toc28167"/>
      <w:r>
        <w:rPr>
          <w:rFonts w:ascii="Georgia" w:hAnsi="Georgia"/>
          <w:color w:val="005329"/>
          <w:spacing w:val="-12"/>
        </w:rPr>
        <w:t xml:space="preserve">3. </w:t>
      </w:r>
      <w:r>
        <w:rPr>
          <w:rFonts w:hint="eastAsia"/>
        </w:rPr>
        <w:t>美国中东情报解密在线，1945-2009</w:t>
      </w:r>
      <w:bookmarkEnd w:id="4"/>
    </w:p>
    <w:p w14:paraId="3E578EAF">
      <w:pPr>
        <w:widowControl/>
        <w:wordWrap w:val="0"/>
        <w:spacing w:line="360" w:lineRule="auto"/>
        <w:ind w:firstLine="480"/>
        <w:textAlignment w:val="baseline"/>
        <w:rPr>
          <w:sz w:val="24"/>
          <w:szCs w:val="24"/>
        </w:rPr>
      </w:pPr>
      <w:r>
        <w:rPr>
          <w:rFonts w:ascii="inherit" w:hAnsi="inherit" w:eastAsia="宋体" w:cs="宋体"/>
          <w:b/>
          <w:bCs/>
          <w:color w:val="555555"/>
          <w:kern w:val="0"/>
          <w:sz w:val="24"/>
          <w:szCs w:val="24"/>
        </w:rPr>
        <w:t>数据库网址：</w:t>
      </w:r>
      <w:r>
        <w:rPr>
          <w:sz w:val="24"/>
          <w:szCs w:val="24"/>
        </w:rPr>
        <w:fldChar w:fldCharType="begin"/>
      </w:r>
      <w:r>
        <w:rPr>
          <w:sz w:val="24"/>
          <w:szCs w:val="24"/>
        </w:rPr>
        <w:instrText xml:space="preserve"> HYPERLINK "https://primarysources.brillonline.com/browse/us-intelligence-on-the-middle-east" </w:instrText>
      </w:r>
      <w:r>
        <w:rPr>
          <w:sz w:val="24"/>
          <w:szCs w:val="24"/>
        </w:rPr>
        <w:fldChar w:fldCharType="separate"/>
      </w:r>
      <w:r>
        <w:rPr>
          <w:rStyle w:val="12"/>
          <w:sz w:val="24"/>
          <w:szCs w:val="24"/>
        </w:rPr>
        <w:t>https://primarysources.brillonline.com/browse/us-intelligence-on-the-middle-east</w:t>
      </w:r>
      <w:r>
        <w:rPr>
          <w:sz w:val="24"/>
          <w:szCs w:val="24"/>
        </w:rPr>
        <w:fldChar w:fldCharType="end"/>
      </w:r>
    </w:p>
    <w:p w14:paraId="73192FE4">
      <w:pPr>
        <w:widowControl/>
        <w:wordWrap w:val="0"/>
        <w:spacing w:line="360" w:lineRule="auto"/>
        <w:ind w:firstLine="480"/>
        <w:textAlignment w:val="baseline"/>
        <w:rPr>
          <w:rFonts w:hint="eastAsia" w:ascii="inherit" w:hAnsi="inherit" w:eastAsia="宋体" w:cs="宋体"/>
          <w:bCs/>
          <w:color w:val="FF0000"/>
          <w:kern w:val="0"/>
          <w:sz w:val="24"/>
          <w:szCs w:val="24"/>
        </w:rPr>
      </w:pPr>
      <w:r>
        <w:rPr>
          <w:rFonts w:ascii="inherit" w:hAnsi="inherit" w:eastAsia="宋体" w:cs="宋体"/>
          <w:b/>
          <w:bCs/>
          <w:color w:val="555555"/>
          <w:kern w:val="0"/>
          <w:sz w:val="24"/>
          <w:szCs w:val="24"/>
        </w:rPr>
        <w:t xml:space="preserve">数据库简介： </w:t>
      </w:r>
    </w:p>
    <w:p w14:paraId="3141DE41">
      <w:pPr>
        <w:spacing w:after="120" w:line="360" w:lineRule="auto"/>
        <w:ind w:firstLine="480" w:firstLineChars="200"/>
        <w:rPr>
          <w:sz w:val="24"/>
          <w:szCs w:val="24"/>
          <w:lang w:val="zh-CN"/>
        </w:rPr>
      </w:pPr>
      <w:r>
        <w:rPr>
          <w:rFonts w:hint="eastAsia"/>
          <w:sz w:val="24"/>
          <w:szCs w:val="24"/>
          <w:lang w:val="zh-CN"/>
        </w:rPr>
        <w:t>自1945年以来，美国情报机构不得不报道中东地区的6场主要战争和几十场规模较小但同样血腥的武装冲突，以及数不清的内战、边境冲突、武装叛乱和恐怖袭击。这份全面的文件阐明了美国情报机构在包括中东、近东和北非在内的阿拉伯世界进行的间谍活动和分析努力。它涵盖了从第二次世界大战结束到现在，直到2002-2003年伊拉克大规模杀伤性武器(WMD)评估、全球反恐战争、伊拉克战争和伊朗核计划。</w:t>
      </w:r>
    </w:p>
    <w:p w14:paraId="71DD81B6">
      <w:pPr>
        <w:spacing w:after="120" w:line="360" w:lineRule="auto"/>
        <w:ind w:firstLine="480" w:firstLineChars="200"/>
        <w:rPr>
          <w:sz w:val="24"/>
          <w:szCs w:val="24"/>
          <w:lang w:val="zh-CN"/>
        </w:rPr>
      </w:pPr>
      <w:r>
        <w:rPr>
          <w:rFonts w:hint="eastAsia"/>
          <w:sz w:val="24"/>
          <w:szCs w:val="24"/>
          <w:lang w:val="zh-CN"/>
        </w:rPr>
        <w:t>所涉及到的内容：美国承认以色列和1948年的中东战争；在伊朗推翻穆罕默德·摩萨德(1953)；1956年中东战争；1967年中东战争；以色列和原子弹；1969年，穆阿迈尔·卡扎菲在利比亚发动政变；1973年中东战争；1973年至1974年欧佩克石油禁运；伊朗国王的倒台和阿亚图拉·霍梅尼的崛起(1978-1979)；两伊战争(1980年9月- 1988年8月)；黎巴嫩(1982 - 1984)；伊拉克入侵科威特(1990)；伊拉克大规模杀伤性武器情报评估(2002-2003)；叙利亚核计划流产(2006-2007)；伊朗核计划(1970年至今)；伊斯兰原教旨主义的兴起；美国以色列情报关系；对以色列间谍</w:t>
      </w:r>
    </w:p>
    <w:p w14:paraId="0C034566">
      <w:pPr>
        <w:spacing w:after="120" w:line="360" w:lineRule="auto"/>
        <w:ind w:firstLine="480" w:firstLineChars="200"/>
        <w:rPr>
          <w:b/>
          <w:bCs/>
          <w:sz w:val="24"/>
          <w:szCs w:val="24"/>
          <w:lang w:val="zh-CN"/>
        </w:rPr>
      </w:pPr>
      <w:r>
        <w:rPr>
          <w:rFonts w:hint="eastAsia"/>
          <w:b/>
          <w:bCs/>
          <w:sz w:val="24"/>
          <w:szCs w:val="24"/>
          <w:lang w:val="zh-CN"/>
        </w:rPr>
        <w:t>档案来源:</w:t>
      </w:r>
    </w:p>
    <w:p w14:paraId="24F679EA">
      <w:pPr>
        <w:pStyle w:val="15"/>
        <w:numPr>
          <w:ilvl w:val="0"/>
          <w:numId w:val="3"/>
        </w:numPr>
        <w:spacing w:line="360" w:lineRule="auto"/>
        <w:contextualSpacing w:val="0"/>
        <w:rPr>
          <w:sz w:val="24"/>
          <w:szCs w:val="24"/>
          <w:lang w:val="zh-CN"/>
        </w:rPr>
      </w:pPr>
      <w:r>
        <w:rPr>
          <w:rFonts w:hint="eastAsia"/>
          <w:sz w:val="24"/>
          <w:szCs w:val="24"/>
          <w:lang w:val="zh-CN"/>
        </w:rPr>
        <w:t>国家档案和记录管理局(NARA)，学院公园，马里兰州</w:t>
      </w:r>
    </w:p>
    <w:p w14:paraId="1EAFBD9B">
      <w:pPr>
        <w:pStyle w:val="15"/>
        <w:numPr>
          <w:ilvl w:val="0"/>
          <w:numId w:val="3"/>
        </w:numPr>
        <w:spacing w:line="360" w:lineRule="auto"/>
        <w:contextualSpacing w:val="0"/>
        <w:rPr>
          <w:sz w:val="24"/>
          <w:szCs w:val="24"/>
          <w:lang w:val="zh-CN"/>
        </w:rPr>
      </w:pPr>
      <w:r>
        <w:rPr>
          <w:rFonts w:hint="eastAsia"/>
          <w:sz w:val="24"/>
          <w:szCs w:val="24"/>
          <w:lang w:val="zh-CN"/>
        </w:rPr>
        <w:t>CIA-CREST数据库</w:t>
      </w:r>
    </w:p>
    <w:p w14:paraId="5709B49B">
      <w:pPr>
        <w:pStyle w:val="15"/>
        <w:numPr>
          <w:ilvl w:val="0"/>
          <w:numId w:val="3"/>
        </w:numPr>
        <w:spacing w:line="360" w:lineRule="auto"/>
        <w:contextualSpacing w:val="0"/>
        <w:rPr>
          <w:sz w:val="24"/>
          <w:szCs w:val="24"/>
          <w:lang w:val="zh-CN"/>
        </w:rPr>
      </w:pPr>
      <w:r>
        <w:rPr>
          <w:rFonts w:hint="eastAsia"/>
          <w:sz w:val="24"/>
          <w:szCs w:val="24"/>
          <w:lang w:val="zh-CN"/>
        </w:rPr>
        <w:t>哈里·s·杜鲁门图书馆，密苏里州独立</w:t>
      </w:r>
    </w:p>
    <w:p w14:paraId="2A627B39">
      <w:pPr>
        <w:pStyle w:val="15"/>
        <w:numPr>
          <w:ilvl w:val="0"/>
          <w:numId w:val="3"/>
        </w:numPr>
        <w:spacing w:line="360" w:lineRule="auto"/>
        <w:contextualSpacing w:val="0"/>
        <w:rPr>
          <w:sz w:val="24"/>
          <w:szCs w:val="24"/>
          <w:lang w:val="zh-CN"/>
        </w:rPr>
      </w:pPr>
      <w:r>
        <w:rPr>
          <w:rFonts w:hint="eastAsia"/>
          <w:sz w:val="24"/>
          <w:szCs w:val="24"/>
          <w:lang w:val="zh-CN"/>
        </w:rPr>
        <w:t>德怀特·d·艾森豪威尔图书馆，堪萨斯州阿比林</w:t>
      </w:r>
    </w:p>
    <w:p w14:paraId="1F1DF62D">
      <w:pPr>
        <w:pStyle w:val="15"/>
        <w:numPr>
          <w:ilvl w:val="0"/>
          <w:numId w:val="3"/>
        </w:numPr>
        <w:spacing w:line="360" w:lineRule="auto"/>
        <w:contextualSpacing w:val="0"/>
        <w:rPr>
          <w:sz w:val="24"/>
          <w:szCs w:val="24"/>
          <w:lang w:val="zh-CN"/>
        </w:rPr>
      </w:pPr>
      <w:r>
        <w:rPr>
          <w:rFonts w:hint="eastAsia"/>
          <w:sz w:val="24"/>
          <w:szCs w:val="24"/>
          <w:lang w:val="zh-CN"/>
        </w:rPr>
        <w:t>马萨诸塞州波士顿肯尼迪图书馆</w:t>
      </w:r>
    </w:p>
    <w:p w14:paraId="5B79E63A">
      <w:pPr>
        <w:pStyle w:val="15"/>
        <w:numPr>
          <w:ilvl w:val="0"/>
          <w:numId w:val="3"/>
        </w:numPr>
        <w:spacing w:line="360" w:lineRule="auto"/>
        <w:contextualSpacing w:val="0"/>
        <w:rPr>
          <w:sz w:val="24"/>
          <w:szCs w:val="24"/>
          <w:lang w:val="zh-CN"/>
        </w:rPr>
      </w:pPr>
      <w:r>
        <w:rPr>
          <w:rFonts w:hint="eastAsia"/>
          <w:sz w:val="24"/>
          <w:szCs w:val="24"/>
          <w:lang w:val="zh-CN"/>
        </w:rPr>
        <w:t>林登·约翰逊图书馆，奥斯汀，德克萨斯</w:t>
      </w:r>
    </w:p>
    <w:p w14:paraId="6E821CA7">
      <w:pPr>
        <w:pStyle w:val="15"/>
        <w:numPr>
          <w:ilvl w:val="0"/>
          <w:numId w:val="3"/>
        </w:numPr>
        <w:spacing w:line="360" w:lineRule="auto"/>
        <w:contextualSpacing w:val="0"/>
        <w:rPr>
          <w:sz w:val="24"/>
          <w:szCs w:val="24"/>
          <w:lang w:val="zh-CN"/>
        </w:rPr>
      </w:pPr>
      <w:r>
        <w:rPr>
          <w:rFonts w:hint="eastAsia"/>
          <w:sz w:val="24"/>
          <w:szCs w:val="24"/>
          <w:lang w:val="zh-CN"/>
        </w:rPr>
        <w:t>理查德·m·尼克松总统图书馆，约巴林达，加利福尼亚州</w:t>
      </w:r>
    </w:p>
    <w:p w14:paraId="10922DDA">
      <w:pPr>
        <w:pStyle w:val="15"/>
        <w:numPr>
          <w:ilvl w:val="0"/>
          <w:numId w:val="3"/>
        </w:numPr>
        <w:spacing w:line="360" w:lineRule="auto"/>
        <w:contextualSpacing w:val="0"/>
        <w:rPr>
          <w:sz w:val="24"/>
          <w:szCs w:val="24"/>
          <w:lang w:val="zh-CN"/>
        </w:rPr>
      </w:pPr>
      <w:r>
        <w:rPr>
          <w:rFonts w:hint="eastAsia"/>
          <w:sz w:val="24"/>
          <w:szCs w:val="24"/>
          <w:lang w:val="zh-CN"/>
        </w:rPr>
        <w:t>杰拉尔德·福特图书馆，安阿伯，密歇根</w:t>
      </w:r>
    </w:p>
    <w:p w14:paraId="52F5CF59">
      <w:pPr>
        <w:pStyle w:val="15"/>
        <w:numPr>
          <w:ilvl w:val="0"/>
          <w:numId w:val="3"/>
        </w:numPr>
        <w:spacing w:line="360" w:lineRule="auto"/>
        <w:contextualSpacing w:val="0"/>
        <w:rPr>
          <w:sz w:val="24"/>
          <w:szCs w:val="24"/>
          <w:lang w:val="zh-CN"/>
        </w:rPr>
      </w:pPr>
      <w:r>
        <w:rPr>
          <w:rFonts w:hint="eastAsia"/>
          <w:sz w:val="24"/>
          <w:szCs w:val="24"/>
          <w:lang w:val="zh-CN"/>
        </w:rPr>
        <w:t>吉米·卡特总统图书馆，佐治亚州亚特兰大</w:t>
      </w:r>
    </w:p>
    <w:p w14:paraId="3B206A4A">
      <w:pPr>
        <w:pStyle w:val="15"/>
        <w:numPr>
          <w:ilvl w:val="0"/>
          <w:numId w:val="3"/>
        </w:numPr>
        <w:spacing w:line="360" w:lineRule="auto"/>
        <w:contextualSpacing w:val="0"/>
        <w:rPr>
          <w:sz w:val="24"/>
          <w:szCs w:val="24"/>
          <w:lang w:val="zh-CN"/>
        </w:rPr>
      </w:pPr>
      <w:r>
        <w:rPr>
          <w:rFonts w:hint="eastAsia"/>
          <w:sz w:val="24"/>
          <w:szCs w:val="24"/>
          <w:lang w:val="zh-CN"/>
        </w:rPr>
        <w:t>罗纳德·里根总统图书馆，西米谷，加利福尼亚</w:t>
      </w:r>
    </w:p>
    <w:p w14:paraId="659A745E">
      <w:pPr>
        <w:pStyle w:val="15"/>
        <w:numPr>
          <w:ilvl w:val="0"/>
          <w:numId w:val="3"/>
        </w:numPr>
        <w:spacing w:line="360" w:lineRule="auto"/>
        <w:contextualSpacing w:val="0"/>
        <w:rPr>
          <w:sz w:val="24"/>
          <w:szCs w:val="24"/>
          <w:lang w:val="zh-CN"/>
        </w:rPr>
      </w:pPr>
      <w:r>
        <w:rPr>
          <w:rFonts w:hint="eastAsia"/>
          <w:sz w:val="24"/>
          <w:szCs w:val="24"/>
          <w:lang w:val="zh-CN"/>
        </w:rPr>
        <w:t>加州帕洛阿尔托胡佛研究所档案馆</w:t>
      </w:r>
    </w:p>
    <w:p w14:paraId="716F3208">
      <w:pPr>
        <w:pStyle w:val="15"/>
        <w:numPr>
          <w:ilvl w:val="0"/>
          <w:numId w:val="3"/>
        </w:numPr>
        <w:spacing w:line="360" w:lineRule="auto"/>
        <w:contextualSpacing w:val="0"/>
        <w:rPr>
          <w:sz w:val="24"/>
          <w:szCs w:val="24"/>
          <w:lang w:val="zh-CN"/>
        </w:rPr>
      </w:pPr>
      <w:r>
        <w:rPr>
          <w:rFonts w:hint="eastAsia"/>
          <w:sz w:val="24"/>
          <w:szCs w:val="24"/>
          <w:lang w:val="zh-CN"/>
        </w:rPr>
        <w:t>美国国会图书馆手稿部，华盛顿特区</w:t>
      </w:r>
    </w:p>
    <w:p w14:paraId="51DF4EB9">
      <w:pPr>
        <w:pStyle w:val="15"/>
        <w:numPr>
          <w:ilvl w:val="0"/>
          <w:numId w:val="3"/>
        </w:numPr>
        <w:spacing w:line="360" w:lineRule="auto"/>
        <w:contextualSpacing w:val="0"/>
        <w:rPr>
          <w:sz w:val="24"/>
          <w:szCs w:val="24"/>
          <w:lang w:val="zh-CN"/>
        </w:rPr>
      </w:pPr>
      <w:r>
        <w:rPr>
          <w:rFonts w:hint="eastAsia"/>
          <w:sz w:val="24"/>
          <w:szCs w:val="24"/>
          <w:lang w:val="zh-CN"/>
        </w:rPr>
        <w:t>乔治马歇尔研究图书馆，莱克星顿，弗吉尼亚州</w:t>
      </w:r>
    </w:p>
    <w:p w14:paraId="7EDBE5BF">
      <w:pPr>
        <w:pStyle w:val="15"/>
        <w:numPr>
          <w:ilvl w:val="0"/>
          <w:numId w:val="3"/>
        </w:numPr>
        <w:spacing w:line="360" w:lineRule="auto"/>
        <w:contextualSpacing w:val="0"/>
        <w:rPr>
          <w:sz w:val="24"/>
          <w:szCs w:val="24"/>
          <w:lang w:val="zh-CN"/>
        </w:rPr>
      </w:pPr>
      <w:r>
        <w:rPr>
          <w:rFonts w:hint="eastAsia"/>
          <w:sz w:val="24"/>
          <w:szCs w:val="24"/>
          <w:lang w:val="zh-CN"/>
        </w:rPr>
        <w:t>道格拉斯·麦克阿瑟将军纪念图书馆，诺福克，弗吉尼亚州</w:t>
      </w:r>
    </w:p>
    <w:p w14:paraId="67A1D0C9">
      <w:pPr>
        <w:pStyle w:val="15"/>
        <w:numPr>
          <w:ilvl w:val="0"/>
          <w:numId w:val="3"/>
        </w:numPr>
        <w:spacing w:line="360" w:lineRule="auto"/>
        <w:contextualSpacing w:val="0"/>
        <w:rPr>
          <w:sz w:val="24"/>
          <w:szCs w:val="24"/>
          <w:lang w:val="zh-CN"/>
        </w:rPr>
      </w:pPr>
      <w:r>
        <w:rPr>
          <w:rFonts w:hint="eastAsia"/>
          <w:sz w:val="24"/>
          <w:szCs w:val="24"/>
          <w:lang w:val="zh-CN"/>
        </w:rPr>
        <w:t>英国国家档案馆，英格兰邱园</w:t>
      </w:r>
    </w:p>
    <w:p w14:paraId="5A3DEBC2">
      <w:pPr>
        <w:pStyle w:val="2"/>
        <w:rPr>
          <w:rFonts w:ascii="Georgia" w:hAnsi="Georgia"/>
          <w:color w:val="005329"/>
          <w:spacing w:val="-12"/>
        </w:rPr>
      </w:pPr>
      <w:bookmarkStart w:id="5" w:name="_Toc11259"/>
      <w:r>
        <w:rPr>
          <w:rFonts w:ascii="Georgia" w:hAnsi="Georgia"/>
          <w:color w:val="005329"/>
          <w:spacing w:val="-12"/>
        </w:rPr>
        <w:t xml:space="preserve">4. </w:t>
      </w:r>
      <w:r>
        <w:rPr>
          <w:rFonts w:hint="eastAsia"/>
        </w:rPr>
        <w:t>冷战情报解密，1945-1991</w:t>
      </w:r>
      <w:bookmarkEnd w:id="5"/>
    </w:p>
    <w:p w14:paraId="04A68829">
      <w:pPr>
        <w:widowControl/>
        <w:wordWrap w:val="0"/>
        <w:spacing w:line="360" w:lineRule="auto"/>
        <w:ind w:firstLine="480"/>
        <w:textAlignment w:val="baseline"/>
        <w:rPr>
          <w:sz w:val="24"/>
          <w:szCs w:val="24"/>
        </w:rPr>
      </w:pPr>
      <w:r>
        <w:rPr>
          <w:rFonts w:ascii="inherit" w:hAnsi="inherit" w:eastAsia="宋体" w:cs="宋体"/>
          <w:b/>
          <w:bCs/>
          <w:color w:val="555555"/>
          <w:kern w:val="0"/>
          <w:sz w:val="24"/>
          <w:szCs w:val="24"/>
        </w:rPr>
        <w:t>数据库网址：</w:t>
      </w:r>
      <w:bookmarkStart w:id="6" w:name="OLE_LINK2"/>
      <w:bookmarkStart w:id="7" w:name="OLE_LINK1"/>
      <w:r>
        <w:rPr>
          <w:sz w:val="24"/>
          <w:szCs w:val="24"/>
        </w:rPr>
        <w:fldChar w:fldCharType="begin"/>
      </w:r>
      <w:r>
        <w:rPr>
          <w:sz w:val="24"/>
          <w:szCs w:val="24"/>
        </w:rPr>
        <w:instrText xml:space="preserve"> HYPERLINK "https://primarysources.brillonline.com/browse/cold-war-intelligence" </w:instrText>
      </w:r>
      <w:r>
        <w:rPr>
          <w:sz w:val="24"/>
          <w:szCs w:val="24"/>
        </w:rPr>
        <w:fldChar w:fldCharType="separate"/>
      </w:r>
      <w:r>
        <w:rPr>
          <w:rStyle w:val="12"/>
          <w:sz w:val="24"/>
          <w:szCs w:val="24"/>
        </w:rPr>
        <w:t>https://primarysources.brillonline.com</w:t>
      </w:r>
      <w:bookmarkEnd w:id="6"/>
      <w:bookmarkEnd w:id="7"/>
      <w:r>
        <w:rPr>
          <w:rStyle w:val="12"/>
          <w:sz w:val="24"/>
          <w:szCs w:val="24"/>
        </w:rPr>
        <w:t>/browse/cold-war-intelligence</w:t>
      </w:r>
      <w:r>
        <w:rPr>
          <w:sz w:val="24"/>
          <w:szCs w:val="24"/>
        </w:rPr>
        <w:fldChar w:fldCharType="end"/>
      </w:r>
    </w:p>
    <w:p w14:paraId="210A0607">
      <w:pPr>
        <w:widowControl/>
        <w:wordWrap w:val="0"/>
        <w:spacing w:line="360" w:lineRule="auto"/>
        <w:ind w:firstLine="480"/>
        <w:textAlignment w:val="baseline"/>
        <w:rPr>
          <w:rFonts w:hint="eastAsia" w:ascii="inherit" w:hAnsi="inherit" w:eastAsia="宋体" w:cs="宋体"/>
          <w:bCs/>
          <w:color w:val="FF0000"/>
          <w:kern w:val="0"/>
          <w:sz w:val="24"/>
          <w:szCs w:val="24"/>
        </w:rPr>
      </w:pPr>
      <w:r>
        <w:rPr>
          <w:rFonts w:ascii="inherit" w:hAnsi="inherit" w:eastAsia="宋体" w:cs="宋体"/>
          <w:b/>
          <w:bCs/>
          <w:color w:val="555555"/>
          <w:kern w:val="0"/>
          <w:sz w:val="24"/>
          <w:szCs w:val="24"/>
        </w:rPr>
        <w:t xml:space="preserve">数据库简介： </w:t>
      </w:r>
    </w:p>
    <w:p w14:paraId="23189EED">
      <w:pPr>
        <w:spacing w:after="120" w:line="360" w:lineRule="auto"/>
        <w:ind w:firstLine="480" w:firstLineChars="200"/>
        <w:rPr>
          <w:sz w:val="24"/>
          <w:szCs w:val="24"/>
          <w:lang w:val="zh-CN"/>
        </w:rPr>
      </w:pPr>
      <w:r>
        <w:rPr>
          <w:rFonts w:hint="eastAsia"/>
          <w:sz w:val="24"/>
          <w:szCs w:val="24"/>
          <w:lang w:val="zh-CN"/>
        </w:rPr>
        <w:t>这份独特的合集收录了超过2300份，以前被美国政府列为机密的文件（其中大部分是绝密分类或更高），为研究人员首次提供了美国情报部门在冷战期间监视苏联成功和失败的记录。本库集在时间线上涵盖了1945年第二次世界大战结束到1991年苏联解体的这段时间，还包括冷战结束以来美国情报历史学家撰写的一些以前属于机密的历史报告和文章。</w:t>
      </w:r>
    </w:p>
    <w:p w14:paraId="0295A17A">
      <w:pPr>
        <w:spacing w:after="120" w:line="360" w:lineRule="auto"/>
        <w:ind w:firstLine="480" w:firstLineChars="200"/>
        <w:rPr>
          <w:b/>
          <w:bCs/>
          <w:sz w:val="24"/>
          <w:szCs w:val="24"/>
          <w:lang w:val="zh-CN"/>
        </w:rPr>
      </w:pPr>
      <w:r>
        <w:rPr>
          <w:rFonts w:hint="eastAsia"/>
          <w:b/>
          <w:bCs/>
          <w:sz w:val="24"/>
          <w:szCs w:val="24"/>
          <w:lang w:val="zh-CN"/>
        </w:rPr>
        <w:t>中央情报局在苏联境内空投 ：</w:t>
      </w:r>
    </w:p>
    <w:p w14:paraId="416069BC">
      <w:pPr>
        <w:spacing w:after="120" w:line="360" w:lineRule="auto"/>
        <w:ind w:firstLine="480" w:firstLineChars="200"/>
        <w:rPr>
          <w:sz w:val="24"/>
          <w:szCs w:val="24"/>
          <w:lang w:val="zh-CN"/>
        </w:rPr>
      </w:pPr>
      <w:r>
        <w:rPr>
          <w:rFonts w:hint="eastAsia"/>
          <w:sz w:val="24"/>
          <w:szCs w:val="24"/>
          <w:lang w:val="zh-CN"/>
        </w:rPr>
        <w:t>这些资料包含了数千页以前未发表的情报报告，其中包括首次解密的文件，内容涉及1949年至1954年间，中央情报局(CIA)企图空降特工进入苏联，但最终以失败告终；1949年至1960年间，美国飞机在苏联上空进行了数十次秘密的空中侦察活动。1945年至1983年间，数十份关于苏联袭击美国军用和民用飞机的前绝密文件；超过50份前中央情报局对苏联的秘密情报评估，涵盖了从苏联的军事能力到克里姆林宫的国内和经济政策的广泛话题。</w:t>
      </w:r>
    </w:p>
    <w:p w14:paraId="2AC535C8">
      <w:pPr>
        <w:spacing w:after="120" w:line="360" w:lineRule="auto"/>
        <w:ind w:firstLine="480" w:firstLineChars="200"/>
        <w:rPr>
          <w:b/>
          <w:bCs/>
          <w:sz w:val="24"/>
          <w:szCs w:val="24"/>
          <w:lang w:val="zh-CN"/>
        </w:rPr>
      </w:pPr>
      <w:r>
        <w:rPr>
          <w:rFonts w:hint="eastAsia"/>
          <w:b/>
          <w:bCs/>
          <w:sz w:val="24"/>
          <w:szCs w:val="24"/>
          <w:lang w:val="zh-CN"/>
        </w:rPr>
        <w:t>三十年的研究 ：</w:t>
      </w:r>
    </w:p>
    <w:p w14:paraId="4EC1F86F">
      <w:pPr>
        <w:spacing w:after="120" w:line="360" w:lineRule="auto"/>
        <w:ind w:firstLine="480" w:firstLineChars="200"/>
        <w:rPr>
          <w:sz w:val="24"/>
          <w:szCs w:val="24"/>
          <w:lang w:val="zh-CN"/>
        </w:rPr>
      </w:pPr>
      <w:r>
        <w:rPr>
          <w:rFonts w:hint="eastAsia"/>
          <w:sz w:val="24"/>
          <w:szCs w:val="24"/>
          <w:lang w:val="zh-CN"/>
        </w:rPr>
        <w:t>获取在华盛顿美国国家档案馆三十年的研究，华盛顿特区和其他档案存储库，是对学生和研究人员试图更好地了解秘密情报通知和塑造了美国和北约国防和外交政策向苏联在冷战期间至关重要的研究资源。</w:t>
      </w:r>
    </w:p>
    <w:p w14:paraId="2847B27B">
      <w:pPr>
        <w:pStyle w:val="2"/>
        <w:rPr>
          <w:rFonts w:ascii="Georgia" w:hAnsi="Georgia"/>
          <w:color w:val="005329"/>
          <w:spacing w:val="-12"/>
        </w:rPr>
      </w:pPr>
      <w:bookmarkStart w:id="8" w:name="_Toc24179"/>
      <w:r>
        <w:rPr>
          <w:rFonts w:ascii="Georgia" w:hAnsi="Georgia"/>
          <w:color w:val="005329"/>
          <w:spacing w:val="-12"/>
        </w:rPr>
        <w:t xml:space="preserve">5. </w:t>
      </w:r>
      <w:r>
        <w:rPr>
          <w:rFonts w:hint="eastAsia"/>
        </w:rPr>
        <w:t>美国大杀伤武器情报解密</w:t>
      </w:r>
      <w:bookmarkEnd w:id="8"/>
    </w:p>
    <w:p w14:paraId="6832298B">
      <w:pPr>
        <w:widowControl/>
        <w:wordWrap w:val="0"/>
        <w:spacing w:line="360" w:lineRule="auto"/>
        <w:ind w:firstLine="480"/>
        <w:textAlignment w:val="baseline"/>
        <w:rPr>
          <w:sz w:val="24"/>
          <w:szCs w:val="24"/>
        </w:rPr>
      </w:pPr>
      <w:r>
        <w:rPr>
          <w:rFonts w:ascii="inherit" w:hAnsi="inherit" w:eastAsia="宋体" w:cs="宋体"/>
          <w:b/>
          <w:bCs/>
          <w:color w:val="555555"/>
          <w:kern w:val="0"/>
          <w:sz w:val="24"/>
          <w:szCs w:val="24"/>
        </w:rPr>
        <w:t>数据库网址：</w:t>
      </w:r>
      <w:r>
        <w:rPr>
          <w:sz w:val="24"/>
          <w:szCs w:val="24"/>
        </w:rPr>
        <w:fldChar w:fldCharType="begin"/>
      </w:r>
      <w:r>
        <w:rPr>
          <w:sz w:val="24"/>
          <w:szCs w:val="24"/>
        </w:rPr>
        <w:instrText xml:space="preserve"> HYPERLINK "https://primarysources.brillonline.com/browse/weapons-of-mass-destruction" </w:instrText>
      </w:r>
      <w:r>
        <w:rPr>
          <w:sz w:val="24"/>
          <w:szCs w:val="24"/>
        </w:rPr>
        <w:fldChar w:fldCharType="separate"/>
      </w:r>
      <w:r>
        <w:rPr>
          <w:rStyle w:val="12"/>
          <w:sz w:val="24"/>
          <w:szCs w:val="24"/>
        </w:rPr>
        <w:t>https://primarysources.brillonline.com/browse/weapons-of-mass-destruction</w:t>
      </w:r>
      <w:r>
        <w:rPr>
          <w:sz w:val="24"/>
          <w:szCs w:val="24"/>
        </w:rPr>
        <w:fldChar w:fldCharType="end"/>
      </w:r>
    </w:p>
    <w:p w14:paraId="3284A5DF">
      <w:pPr>
        <w:widowControl/>
        <w:wordWrap w:val="0"/>
        <w:spacing w:line="360" w:lineRule="auto"/>
        <w:ind w:firstLine="480"/>
        <w:textAlignment w:val="baseline"/>
        <w:rPr>
          <w:rFonts w:hint="eastAsia" w:ascii="inherit" w:hAnsi="inherit" w:eastAsia="宋体" w:cs="宋体"/>
          <w:bCs/>
          <w:color w:val="FF0000"/>
          <w:kern w:val="0"/>
          <w:sz w:val="24"/>
          <w:szCs w:val="24"/>
        </w:rPr>
      </w:pPr>
      <w:r>
        <w:rPr>
          <w:rFonts w:ascii="inherit" w:hAnsi="inherit" w:eastAsia="宋体" w:cs="宋体"/>
          <w:b/>
          <w:bCs/>
          <w:color w:val="555555"/>
          <w:kern w:val="0"/>
          <w:sz w:val="24"/>
          <w:szCs w:val="24"/>
        </w:rPr>
        <w:t xml:space="preserve">数据库简介： </w:t>
      </w:r>
    </w:p>
    <w:p w14:paraId="4D0B59F5">
      <w:pPr>
        <w:spacing w:after="120" w:line="360" w:lineRule="auto"/>
        <w:ind w:firstLine="480" w:firstLineChars="200"/>
        <w:rPr>
          <w:sz w:val="24"/>
          <w:szCs w:val="24"/>
          <w:lang w:val="zh-CN"/>
        </w:rPr>
      </w:pPr>
      <w:r>
        <w:rPr>
          <w:rFonts w:hint="eastAsia"/>
          <w:sz w:val="24"/>
          <w:szCs w:val="24"/>
          <w:lang w:val="zh-CN"/>
        </w:rPr>
        <w:t>这些文件包括2300多份美国政府以前的机密文件，其中大部分之前被列为最高机密或更高机密。时间段涵盖了从第二次世界大战结束到当今，提供了以前未发表的报告，备忘录，电报，情报简报，机密文章，演示文稿，军事手册和指示，以及其他解密文件。经过多年的档案研究和精心挑选，他们汇集了来自美国国家档案馆、美国10个总统图书馆、布鲁塞尔的北约档案馆、英国国家档案馆、加拿大国家档案馆和荷兰国家档案馆的资料。此外，根据《信息自由法》(Freedom of Information Act, FOIA)和《强制解密审查》(Mandatory Declassification Review, MDR)的要求，从美国政府和五角大楼获得了大量文件。</w:t>
      </w:r>
    </w:p>
    <w:p w14:paraId="4786F0B5">
      <w:pPr>
        <w:spacing w:after="120" w:line="360" w:lineRule="auto"/>
        <w:ind w:firstLine="480" w:firstLineChars="200"/>
        <w:rPr>
          <w:sz w:val="24"/>
          <w:szCs w:val="24"/>
          <w:lang w:val="zh-CN"/>
        </w:rPr>
      </w:pPr>
      <w:r>
        <w:rPr>
          <w:rFonts w:hint="eastAsia"/>
          <w:sz w:val="24"/>
          <w:szCs w:val="24"/>
          <w:lang w:val="zh-CN"/>
        </w:rPr>
        <w:t>收录了详细的论文集，美国核储备，化学和生物武器开发，涉及的惊人的成本，炸弹的实验室网络及其组件的设计和发展，新的细节，很多秘密工厂的分布，他们测试的网点，甚至最近公布了一些有关美国和海外部署武器的仓库的信息。</w:t>
      </w:r>
    </w:p>
    <w:p w14:paraId="1ECD2E64">
      <w:pPr>
        <w:spacing w:after="120" w:line="360" w:lineRule="auto"/>
        <w:ind w:firstLine="480" w:firstLineChars="200"/>
        <w:rPr>
          <w:sz w:val="24"/>
          <w:szCs w:val="24"/>
          <w:lang w:val="zh-CN"/>
        </w:rPr>
      </w:pPr>
      <w:r>
        <w:rPr>
          <w:rFonts w:hint="eastAsia"/>
          <w:sz w:val="24"/>
          <w:szCs w:val="24"/>
          <w:lang w:val="zh-CN"/>
        </w:rPr>
        <w:t>这个集合包含了有史以来第一次一组全面量化的解密文件的大小和破坏力美国核、化学和生物武器储备在整个冷战时期，包括新的细节和这些兵工厂的许多不同类型的武器，如核地雷(原子拆迁弹药)，甚至核无后座力的步枪系统。</w:t>
      </w:r>
    </w:p>
    <w:p w14:paraId="4079759D">
      <w:pPr>
        <w:spacing w:after="120" w:line="360" w:lineRule="auto"/>
        <w:ind w:firstLine="480" w:firstLineChars="200"/>
        <w:rPr>
          <w:sz w:val="24"/>
          <w:szCs w:val="24"/>
          <w:lang w:val="zh-CN"/>
        </w:rPr>
      </w:pPr>
      <w:r>
        <w:rPr>
          <w:rFonts w:hint="eastAsia"/>
          <w:sz w:val="24"/>
          <w:szCs w:val="24"/>
          <w:lang w:val="zh-CN"/>
        </w:rPr>
        <w:t>这些收藏包括数百页解密的国防部和国务院文件，内容涉及美国政府与15多个外国政府就向本国部署核武器和化学武器进行的秘密谈判（从未在海外部署过完整的生物武器），以及冷战后期更为困难的任务，即在这些武器失效后，设法获得移除它们的许可。在某些情况下,美国政府有意不告诉主人他们部署的核武器和化学武器的国家。</w:t>
      </w:r>
    </w:p>
    <w:p w14:paraId="2405170C">
      <w:pPr>
        <w:spacing w:after="120" w:line="360" w:lineRule="auto"/>
        <w:ind w:firstLine="480" w:firstLineChars="200"/>
        <w:rPr>
          <w:sz w:val="24"/>
          <w:szCs w:val="24"/>
          <w:lang w:val="zh-CN"/>
        </w:rPr>
      </w:pPr>
      <w:r>
        <w:rPr>
          <w:rFonts w:hint="eastAsia"/>
          <w:sz w:val="24"/>
          <w:szCs w:val="24"/>
          <w:lang w:val="zh-CN"/>
        </w:rPr>
        <w:t>还包括100多份关于美国核战争计划的解密文件，详细描述了美国在战时将如何使用核武器、化学武器和生物武器，包括他们在苏联和中华人民共和国境内的目标清单；新解密的文件载有所有已知的核、化学和生物武器事故的详情，其中一些已造成致命后果；还有一些事件涉及外国政府（希腊、土耳其和韩国）威胁要没收美国储存在他们国土上的核武器，以此向美国政府施压。最后，最近公布的文件显示，一个恐怖组织企图渗透美国在西德的一个核武器储存地点。</w:t>
      </w:r>
    </w:p>
    <w:p w14:paraId="5FFA7D22">
      <w:pPr>
        <w:pStyle w:val="2"/>
        <w:rPr>
          <w:rFonts w:ascii="Georgia" w:hAnsi="Georgia"/>
          <w:color w:val="005329"/>
          <w:spacing w:val="-12"/>
        </w:rPr>
      </w:pPr>
      <w:bookmarkStart w:id="9" w:name="_Toc5631"/>
      <w:r>
        <w:rPr>
          <w:rFonts w:ascii="Georgia" w:hAnsi="Georgia"/>
          <w:color w:val="005329"/>
          <w:spacing w:val="-12"/>
        </w:rPr>
        <w:t>6.</w:t>
      </w:r>
      <w:r>
        <w:rPr>
          <w:rFonts w:hint="eastAsia"/>
        </w:rPr>
        <w:t xml:space="preserve"> 俄罗斯亚洲军事情报：机密档案，1651-1917</w:t>
      </w:r>
      <w:bookmarkEnd w:id="9"/>
    </w:p>
    <w:p w14:paraId="270E9A02">
      <w:pPr>
        <w:widowControl/>
        <w:wordWrap w:val="0"/>
        <w:spacing w:line="360" w:lineRule="auto"/>
        <w:ind w:firstLine="480"/>
        <w:textAlignment w:val="baseline"/>
        <w:rPr>
          <w:sz w:val="24"/>
          <w:szCs w:val="24"/>
        </w:rPr>
      </w:pPr>
      <w:r>
        <w:rPr>
          <w:rFonts w:ascii="inherit" w:hAnsi="inherit" w:eastAsia="宋体" w:cs="宋体"/>
          <w:b/>
          <w:bCs/>
          <w:color w:val="555555"/>
          <w:kern w:val="0"/>
          <w:sz w:val="24"/>
          <w:szCs w:val="24"/>
        </w:rPr>
        <w:t>数据库网址：</w:t>
      </w:r>
      <w:r>
        <w:rPr>
          <w:sz w:val="24"/>
          <w:szCs w:val="24"/>
        </w:rPr>
        <w:fldChar w:fldCharType="begin"/>
      </w:r>
      <w:r>
        <w:rPr>
          <w:sz w:val="24"/>
          <w:szCs w:val="24"/>
        </w:rPr>
        <w:instrText xml:space="preserve"> HYPERLINK "https://primarysources.brillonline.com/browse/russian-military-intelligence-on-asia-archive" </w:instrText>
      </w:r>
      <w:r>
        <w:rPr>
          <w:sz w:val="24"/>
          <w:szCs w:val="24"/>
        </w:rPr>
        <w:fldChar w:fldCharType="separate"/>
      </w:r>
      <w:r>
        <w:rPr>
          <w:rStyle w:val="12"/>
          <w:sz w:val="24"/>
          <w:szCs w:val="24"/>
        </w:rPr>
        <w:t>https://primarysources.brillonline.com/browse/russian-military-intelligence-on-asia-archive</w:t>
      </w:r>
      <w:r>
        <w:rPr>
          <w:sz w:val="24"/>
          <w:szCs w:val="24"/>
        </w:rPr>
        <w:fldChar w:fldCharType="end"/>
      </w:r>
    </w:p>
    <w:p w14:paraId="04E70D48">
      <w:pPr>
        <w:widowControl/>
        <w:wordWrap w:val="0"/>
        <w:spacing w:line="360" w:lineRule="auto"/>
        <w:ind w:firstLine="480"/>
        <w:textAlignment w:val="baseline"/>
        <w:rPr>
          <w:rFonts w:hint="eastAsia" w:ascii="inherit" w:hAnsi="inherit" w:eastAsia="宋体" w:cs="宋体"/>
          <w:bCs/>
          <w:color w:val="FF0000"/>
          <w:kern w:val="0"/>
          <w:sz w:val="24"/>
          <w:szCs w:val="24"/>
        </w:rPr>
      </w:pPr>
      <w:r>
        <w:rPr>
          <w:rFonts w:ascii="inherit" w:hAnsi="inherit" w:eastAsia="宋体" w:cs="宋体"/>
          <w:b/>
          <w:bCs/>
          <w:color w:val="555555"/>
          <w:kern w:val="0"/>
          <w:sz w:val="24"/>
          <w:szCs w:val="24"/>
        </w:rPr>
        <w:t xml:space="preserve">数据库简介： </w:t>
      </w:r>
    </w:p>
    <w:p w14:paraId="32EBC728">
      <w:pPr>
        <w:spacing w:line="360" w:lineRule="auto"/>
        <w:ind w:firstLine="480" w:firstLineChars="200"/>
        <w:rPr>
          <w:sz w:val="24"/>
          <w:szCs w:val="24"/>
        </w:rPr>
      </w:pPr>
      <w:r>
        <w:rPr>
          <w:rFonts w:hint="eastAsia"/>
          <w:sz w:val="24"/>
          <w:szCs w:val="24"/>
        </w:rPr>
        <w:t>该数据库资源均被列为“机密”或“仅供内部使用”的文档，仅少量印刷，所以俄罗斯以外没有完整的馆藏，俄罗斯主要图书馆的保有量也较缺乏。它们共同组成了20世纪以前，由探险家、驻外武官、外交官、研究学者等收集而来，关于亚洲地区的大量情报资源，及大量珍稀史料。这些情报收集与分析不仅被应用到军队和对潜在敌人的地形分析上，也被广泛应用于对政治、经济、种族志和更多研究领域。</w:t>
      </w:r>
    </w:p>
    <w:p w14:paraId="1A44179C">
      <w:pPr>
        <w:spacing w:line="360" w:lineRule="auto"/>
        <w:ind w:firstLine="480" w:firstLineChars="200"/>
        <w:rPr>
          <w:sz w:val="24"/>
          <w:szCs w:val="24"/>
        </w:rPr>
      </w:pPr>
      <w:r>
        <w:rPr>
          <w:rFonts w:hint="eastAsia"/>
          <w:sz w:val="24"/>
          <w:szCs w:val="24"/>
        </w:rPr>
        <w:t>19世纪，俄罗斯在亚洲的势力迅速扩张。在拿破仑战争后，西方各国势力迅速恢复，边界基本固定，但罗曼诺夫王朝的专制在东方仍具有统治力，希望找到更多突破口。俄罗斯帝国在亚洲的扩张恰逢一场军事情报的变革，收集和分析这些情报也变得更加详细和全面，几乎是百科全书式的，包含军队和地形分析，还涉及到政治、经济、人种学、种族志等。</w:t>
      </w:r>
    </w:p>
    <w:p w14:paraId="414A797D">
      <w:pPr>
        <w:spacing w:line="360" w:lineRule="auto"/>
        <w:ind w:firstLine="480" w:firstLineChars="200"/>
        <w:rPr>
          <w:sz w:val="24"/>
          <w:szCs w:val="24"/>
        </w:rPr>
      </w:pPr>
      <w:r>
        <w:rPr>
          <w:rFonts w:hint="eastAsia"/>
          <w:b/>
          <w:sz w:val="24"/>
          <w:szCs w:val="24"/>
        </w:rPr>
        <w:t>分为以下三个主题，针对以下九个国家的情报资源</w:t>
      </w:r>
      <w:r>
        <w:rPr>
          <w:rFonts w:hint="eastAsia"/>
          <w:sz w:val="24"/>
          <w:szCs w:val="24"/>
        </w:rPr>
        <w:t>：</w:t>
      </w:r>
    </w:p>
    <w:p w14:paraId="612384A1">
      <w:pPr>
        <w:pStyle w:val="15"/>
        <w:numPr>
          <w:ilvl w:val="0"/>
          <w:numId w:val="4"/>
        </w:numPr>
        <w:spacing w:line="360" w:lineRule="auto"/>
        <w:contextualSpacing w:val="0"/>
        <w:rPr>
          <w:b/>
          <w:sz w:val="24"/>
          <w:szCs w:val="24"/>
        </w:rPr>
      </w:pPr>
      <w:r>
        <w:rPr>
          <w:rFonts w:hint="eastAsia"/>
          <w:b/>
          <w:sz w:val="24"/>
          <w:szCs w:val="24"/>
        </w:rPr>
        <w:t>远东威胁 —— 来自中国、日本和韩国的威胁</w:t>
      </w:r>
    </w:p>
    <w:p w14:paraId="2AA3F49F">
      <w:pPr>
        <w:spacing w:line="360" w:lineRule="auto"/>
        <w:ind w:firstLine="480" w:firstLineChars="200"/>
        <w:rPr>
          <w:sz w:val="24"/>
          <w:szCs w:val="24"/>
        </w:rPr>
      </w:pPr>
      <w:r>
        <w:rPr>
          <w:rFonts w:hint="eastAsia"/>
          <w:sz w:val="24"/>
          <w:szCs w:val="24"/>
        </w:rPr>
        <w:t>有关中国、日本、韩国等远东国家或地区的历史事件的详细记述。尽管俄罗斯帝国从未正式与中国开战，但19世纪，随着清朝的衰落为扩张提供了诱人的机会，沙皇对这个远东邻国的兴趣有所上升。此外，由于俄罗斯有着悠久的非正式关系历史，俄罗斯公民在许多其他欧洲人完全无法进入的中国地区的研究处于非常有利的地位。该系列收集包括了广泛的军事、政治、经济、民族志和地理研究，以及关于吞并黑龙江和乌苏里江地区、伊犁危机、中俄联盟和满洲租界的宝贵原始文献。</w:t>
      </w:r>
    </w:p>
    <w:p w14:paraId="6EEC5352">
      <w:pPr>
        <w:spacing w:line="360" w:lineRule="auto"/>
        <w:ind w:firstLine="480" w:firstLineChars="200"/>
        <w:rPr>
          <w:sz w:val="24"/>
          <w:szCs w:val="24"/>
        </w:rPr>
      </w:pPr>
      <w:r>
        <w:rPr>
          <w:rFonts w:hint="eastAsia"/>
          <w:sz w:val="24"/>
          <w:szCs w:val="24"/>
        </w:rPr>
        <w:t>中国：档案文件384卷，缩微胶卷28卷；日本：档案文件78卷，缩微胶卷3卷；韩国：档案文件35卷，缩微胶卷2卷</w:t>
      </w:r>
    </w:p>
    <w:p w14:paraId="7B456FA4">
      <w:pPr>
        <w:pStyle w:val="15"/>
        <w:numPr>
          <w:ilvl w:val="0"/>
          <w:numId w:val="4"/>
        </w:numPr>
        <w:spacing w:line="360" w:lineRule="auto"/>
        <w:contextualSpacing w:val="0"/>
        <w:rPr>
          <w:b/>
          <w:sz w:val="24"/>
          <w:szCs w:val="24"/>
        </w:rPr>
      </w:pPr>
      <w:r>
        <w:rPr>
          <w:rFonts w:hint="eastAsia"/>
          <w:b/>
          <w:sz w:val="24"/>
          <w:szCs w:val="24"/>
        </w:rPr>
        <w:t>东部问题 —— 面临土耳其、巴勒斯坦、阿拉伯和叙利亚的问题</w:t>
      </w:r>
    </w:p>
    <w:p w14:paraId="31D8D459">
      <w:pPr>
        <w:spacing w:line="360" w:lineRule="auto"/>
        <w:ind w:firstLine="480" w:firstLineChars="200"/>
        <w:rPr>
          <w:sz w:val="24"/>
          <w:szCs w:val="24"/>
        </w:rPr>
      </w:pPr>
      <w:r>
        <w:rPr>
          <w:rFonts w:hint="eastAsia"/>
          <w:sz w:val="24"/>
          <w:szCs w:val="24"/>
        </w:rPr>
        <w:t>土耳其、巴勒斯坦、阿拉伯地区和叙利亚等中东地区问题的历史背景与关系演变。在俄帝国存在的最后两个世纪中，俄罗斯帝国与土耳其发生了至少八次冲突;其中一场冲突就是灾难性的克里米亚战争。维多利亚时代的英国人称这些冲突为“东方问题”，它们是当时大国斗争的主要特征。俄罗斯总参谋部收集了关于其奥斯曼敌人的大量数据，这些数据被归入该系列。这份档案包括1000多份不同的档案文件，其中包括土耳其政治、英国影响、土耳其军队的组织和状况、博斯普鲁斯海峡和达达尼尔海峡的防御以及巴尔干半岛和其他地区的民族主义叛乱的机密武官和外交报告。还有500多张地图、平面图、示意图和其他插图。</w:t>
      </w:r>
    </w:p>
    <w:p w14:paraId="3B1486AC">
      <w:pPr>
        <w:spacing w:line="360" w:lineRule="auto"/>
        <w:ind w:firstLine="480" w:firstLineChars="200"/>
        <w:rPr>
          <w:sz w:val="24"/>
          <w:szCs w:val="24"/>
        </w:rPr>
      </w:pPr>
      <w:r>
        <w:rPr>
          <w:rFonts w:hint="eastAsia"/>
          <w:sz w:val="24"/>
          <w:szCs w:val="24"/>
        </w:rPr>
        <w:t>土耳其：档案文件917卷，缩微胶卷41卷；巴勒斯坦：档案文件38卷，缩微胶卷1卷；阿拉伯及叙利亚：档案文件65卷，缩微胶卷3卷</w:t>
      </w:r>
    </w:p>
    <w:p w14:paraId="1D7F5585">
      <w:pPr>
        <w:pStyle w:val="15"/>
        <w:numPr>
          <w:ilvl w:val="0"/>
          <w:numId w:val="4"/>
        </w:numPr>
        <w:spacing w:line="360" w:lineRule="auto"/>
        <w:contextualSpacing w:val="0"/>
        <w:rPr>
          <w:b/>
          <w:sz w:val="24"/>
          <w:szCs w:val="24"/>
        </w:rPr>
      </w:pPr>
      <w:r>
        <w:rPr>
          <w:rFonts w:hint="eastAsia"/>
          <w:b/>
          <w:sz w:val="24"/>
          <w:szCs w:val="24"/>
        </w:rPr>
        <w:t>中亚博弈 —— 对抗波斯和阿富汗的政策</w:t>
      </w:r>
    </w:p>
    <w:p w14:paraId="39008B69">
      <w:pPr>
        <w:spacing w:line="360" w:lineRule="auto"/>
        <w:ind w:firstLine="480" w:firstLineChars="200"/>
        <w:rPr>
          <w:sz w:val="24"/>
          <w:szCs w:val="24"/>
        </w:rPr>
      </w:pPr>
      <w:r>
        <w:rPr>
          <w:rFonts w:hint="eastAsia"/>
          <w:sz w:val="24"/>
          <w:szCs w:val="24"/>
        </w:rPr>
        <w:t>伊朗、阿富汗等中亚地区国家之间大博弈。18、19世纪，俄国与波斯帝国交战四次。虽然沙皇的野心主要集中在高加索地区，但伦敦开始担心，在争夺亚洲主权的竞争中，会出现更宏大的计划，他们称之为“大博弈 （The Great Game)”。收藏包括近200张地图。这些文件的范围从政治、经济和军事发展的调查，到亚美尼亚分裂主义和俄罗斯对波斯军队的军事援助。</w:t>
      </w:r>
    </w:p>
    <w:p w14:paraId="5A445C1A">
      <w:pPr>
        <w:spacing w:line="360" w:lineRule="auto"/>
        <w:ind w:firstLine="480" w:firstLineChars="200"/>
        <w:rPr>
          <w:sz w:val="24"/>
          <w:szCs w:val="24"/>
        </w:rPr>
      </w:pPr>
      <w:r>
        <w:rPr>
          <w:rFonts w:hint="eastAsia"/>
          <w:sz w:val="24"/>
          <w:szCs w:val="24"/>
        </w:rPr>
        <w:t>波斯帝国（伊朗）：档案文件364卷，缩微胶卷12卷；阿富汗：档案文件55卷，缩微胶卷3卷</w:t>
      </w:r>
    </w:p>
    <w:p w14:paraId="78713C16">
      <w:pPr>
        <w:pStyle w:val="2"/>
        <w:rPr>
          <w:rFonts w:ascii="Georgia" w:hAnsi="Georgia"/>
          <w:color w:val="005329"/>
          <w:spacing w:val="-12"/>
        </w:rPr>
      </w:pPr>
      <w:bookmarkStart w:id="10" w:name="_Toc1713"/>
      <w:r>
        <w:rPr>
          <w:rFonts w:ascii="Georgia" w:hAnsi="Georgia"/>
          <w:color w:val="005329"/>
          <w:spacing w:val="-12"/>
        </w:rPr>
        <w:t xml:space="preserve">7. </w:t>
      </w:r>
      <w:r>
        <w:rPr>
          <w:rFonts w:hint="eastAsia"/>
        </w:rPr>
        <w:t>俄罗斯亚洲军事情报：机密文件，1883-1914</w:t>
      </w:r>
      <w:bookmarkEnd w:id="10"/>
    </w:p>
    <w:p w14:paraId="022A99EF">
      <w:pPr>
        <w:widowControl/>
        <w:wordWrap w:val="0"/>
        <w:spacing w:line="360" w:lineRule="auto"/>
        <w:ind w:firstLine="480"/>
        <w:textAlignment w:val="baseline"/>
        <w:rPr>
          <w:sz w:val="24"/>
          <w:szCs w:val="24"/>
        </w:rPr>
      </w:pPr>
      <w:r>
        <w:rPr>
          <w:rFonts w:ascii="inherit" w:hAnsi="inherit" w:eastAsia="宋体" w:cs="宋体"/>
          <w:b/>
          <w:bCs/>
          <w:color w:val="555555"/>
          <w:kern w:val="0"/>
          <w:sz w:val="24"/>
          <w:szCs w:val="24"/>
        </w:rPr>
        <w:t>数据库网址：</w:t>
      </w:r>
      <w:r>
        <w:rPr>
          <w:sz w:val="24"/>
          <w:szCs w:val="24"/>
        </w:rPr>
        <w:fldChar w:fldCharType="begin"/>
      </w:r>
      <w:r>
        <w:rPr>
          <w:sz w:val="24"/>
          <w:szCs w:val="24"/>
        </w:rPr>
        <w:instrText xml:space="preserve"> HYPERLINK "https://primarysources.brillonline.com/browse/russian-military-intelligence-on-asia-secret-prints" </w:instrText>
      </w:r>
      <w:r>
        <w:rPr>
          <w:sz w:val="24"/>
          <w:szCs w:val="24"/>
        </w:rPr>
        <w:fldChar w:fldCharType="separate"/>
      </w:r>
      <w:r>
        <w:rPr>
          <w:rStyle w:val="12"/>
          <w:sz w:val="24"/>
          <w:szCs w:val="24"/>
        </w:rPr>
        <w:t>https://primarysources.brillonline.com/browse/russian-military-intelligence-on-asia-secret-prints</w:t>
      </w:r>
      <w:r>
        <w:rPr>
          <w:sz w:val="24"/>
          <w:szCs w:val="24"/>
        </w:rPr>
        <w:fldChar w:fldCharType="end"/>
      </w:r>
    </w:p>
    <w:p w14:paraId="50952732">
      <w:pPr>
        <w:widowControl/>
        <w:wordWrap w:val="0"/>
        <w:spacing w:line="360" w:lineRule="auto"/>
        <w:ind w:firstLine="480"/>
        <w:textAlignment w:val="baseline"/>
        <w:rPr>
          <w:rFonts w:hint="eastAsia" w:ascii="inherit" w:hAnsi="inherit" w:eastAsia="宋体" w:cs="宋体"/>
          <w:bCs/>
          <w:color w:val="FF0000"/>
          <w:kern w:val="0"/>
          <w:sz w:val="24"/>
          <w:szCs w:val="24"/>
        </w:rPr>
      </w:pPr>
      <w:r>
        <w:rPr>
          <w:rFonts w:ascii="inherit" w:hAnsi="inherit" w:eastAsia="宋体" w:cs="宋体"/>
          <w:b/>
          <w:bCs/>
          <w:color w:val="555555"/>
          <w:kern w:val="0"/>
          <w:sz w:val="24"/>
          <w:szCs w:val="24"/>
        </w:rPr>
        <w:t xml:space="preserve">数据库简介： </w:t>
      </w:r>
    </w:p>
    <w:p w14:paraId="650F6A0D">
      <w:pPr>
        <w:spacing w:line="360" w:lineRule="auto"/>
        <w:ind w:firstLine="480" w:firstLineChars="200"/>
        <w:rPr>
          <w:sz w:val="24"/>
          <w:szCs w:val="24"/>
        </w:rPr>
      </w:pPr>
      <w:r>
        <w:rPr>
          <w:rFonts w:hint="eastAsia"/>
          <w:sz w:val="24"/>
          <w:szCs w:val="24"/>
        </w:rPr>
        <w:t>1883年至1914年间，由俄国总参谋部出版发行的，87本书和9本增补卷（每本平均约300页）的《亚洲地理、地形和地理资料汇编》。</w:t>
      </w:r>
    </w:p>
    <w:p w14:paraId="1B645023">
      <w:pPr>
        <w:spacing w:line="360" w:lineRule="auto"/>
        <w:ind w:firstLine="480" w:firstLineChars="200"/>
        <w:rPr>
          <w:sz w:val="24"/>
          <w:szCs w:val="24"/>
        </w:rPr>
      </w:pPr>
      <w:r>
        <w:rPr>
          <w:rFonts w:hint="eastAsia"/>
          <w:sz w:val="24"/>
          <w:szCs w:val="24"/>
        </w:rPr>
        <w:t>出版物仅在内部流通，其目的是向沙皇时期的高级军事指挥官传播由俄罗斯和西方探险家、军官和学者撰写的关于陆地的重要内容。</w:t>
      </w:r>
    </w:p>
    <w:p w14:paraId="72631944">
      <w:pPr>
        <w:spacing w:line="360" w:lineRule="auto"/>
        <w:ind w:firstLine="480" w:firstLineChars="200"/>
        <w:rPr>
          <w:sz w:val="24"/>
          <w:szCs w:val="24"/>
        </w:rPr>
      </w:pPr>
      <w:r>
        <w:rPr>
          <w:rFonts w:hint="eastAsia"/>
          <w:sz w:val="24"/>
          <w:szCs w:val="24"/>
        </w:rPr>
        <w:t>大量的秘密文档是关于亚洲范围内鲜为人知地区的第一手资料。编写者大多数是俄罗斯军官，他们中的许多人均接受过广泛的地理及相关学科的专业训练。</w:t>
      </w:r>
    </w:p>
    <w:p w14:paraId="5ECD3BA4">
      <w:pPr>
        <w:spacing w:line="360" w:lineRule="auto"/>
        <w:ind w:firstLine="480" w:firstLineChars="200"/>
        <w:rPr>
          <w:sz w:val="24"/>
          <w:szCs w:val="24"/>
        </w:rPr>
      </w:pPr>
      <w:r>
        <w:rPr>
          <w:rFonts w:hint="eastAsia"/>
          <w:sz w:val="24"/>
          <w:szCs w:val="24"/>
        </w:rPr>
        <w:t>较为知名的作者包括Nikolai Przhevalskii，AlekseiKuropatkin，Nikolai Ermolov，Gustav Mannerheim，LavrKornilov和Andrei Snesarev。</w:t>
      </w:r>
    </w:p>
    <w:p w14:paraId="05F4EBEC">
      <w:pPr>
        <w:spacing w:line="360" w:lineRule="auto"/>
        <w:ind w:firstLine="480" w:firstLineChars="200"/>
        <w:rPr>
          <w:sz w:val="24"/>
          <w:szCs w:val="24"/>
        </w:rPr>
      </w:pPr>
      <w:r>
        <w:rPr>
          <w:rFonts w:hint="eastAsia"/>
          <w:sz w:val="24"/>
          <w:szCs w:val="24"/>
        </w:rPr>
        <w:t>内容覆盖广泛，从外交专员电文、外交调度到沙皇入侵印度、赫拉特围攻的历史再到欧洲抵制中国运动等都有涉及。</w:t>
      </w:r>
    </w:p>
    <w:p w14:paraId="4A757459">
      <w:pPr>
        <w:pStyle w:val="2"/>
        <w:rPr>
          <w:rFonts w:ascii="Georgia" w:hAnsi="Georgia"/>
          <w:color w:val="005329"/>
          <w:spacing w:val="-12"/>
        </w:rPr>
      </w:pPr>
      <w:bookmarkStart w:id="11" w:name="_Toc8714"/>
      <w:r>
        <w:rPr>
          <w:rFonts w:ascii="Georgia" w:hAnsi="Georgia"/>
          <w:color w:val="005329"/>
          <w:spacing w:val="-12"/>
        </w:rPr>
        <w:t xml:space="preserve">8. </w:t>
      </w:r>
      <w:r>
        <w:rPr>
          <w:rFonts w:hint="eastAsia"/>
        </w:rPr>
        <w:t>英国关于波斯（伊朗）的情报和政策档案， 1900-1949年</w:t>
      </w:r>
      <w:bookmarkEnd w:id="11"/>
    </w:p>
    <w:p w14:paraId="48E9BAE2">
      <w:pPr>
        <w:widowControl/>
        <w:wordWrap w:val="0"/>
        <w:spacing w:line="360" w:lineRule="auto"/>
        <w:ind w:firstLine="480"/>
        <w:textAlignment w:val="baseline"/>
        <w:rPr>
          <w:rFonts w:asciiTheme="minorEastAsia" w:hAnsiTheme="minorEastAsia" w:cstheme="minorEastAsia"/>
          <w:sz w:val="24"/>
          <w:szCs w:val="24"/>
        </w:rPr>
      </w:pPr>
      <w:r>
        <w:rPr>
          <w:rFonts w:ascii="inherit" w:hAnsi="inherit" w:eastAsia="宋体" w:cs="宋体"/>
          <w:b/>
          <w:bCs/>
          <w:color w:val="555555"/>
          <w:kern w:val="0"/>
          <w:sz w:val="24"/>
          <w:szCs w:val="24"/>
        </w:rPr>
        <w:t>数据库网址：</w:t>
      </w:r>
      <w:r>
        <w:rPr>
          <w:rFonts w:asciiTheme="minorEastAsia" w:hAnsiTheme="minorEastAsia" w:cstheme="minorEastAsia"/>
          <w:sz w:val="24"/>
          <w:szCs w:val="24"/>
        </w:rPr>
        <w:fldChar w:fldCharType="begin"/>
      </w:r>
      <w:r>
        <w:rPr>
          <w:rFonts w:asciiTheme="minorEastAsia" w:hAnsiTheme="minorEastAsia" w:cstheme="minorEastAsia"/>
          <w:sz w:val="24"/>
          <w:szCs w:val="24"/>
        </w:rPr>
        <w:instrText xml:space="preserve"> HYPERLINK "</w:instrText>
      </w:r>
      <w:r>
        <w:rPr>
          <w:rFonts w:hint="eastAsia" w:asciiTheme="minorEastAsia" w:hAnsiTheme="minorEastAsia" w:cstheme="minorEastAsia"/>
          <w:sz w:val="24"/>
          <w:szCs w:val="24"/>
        </w:rPr>
        <w:instrText xml:space="preserve">https://www.degruyter.com/database/IRAN/html</w:instrText>
      </w:r>
      <w:r>
        <w:rPr>
          <w:rFonts w:asciiTheme="minorEastAsia" w:hAnsiTheme="minorEastAsia" w:cstheme="minorEastAsia"/>
          <w:sz w:val="24"/>
          <w:szCs w:val="24"/>
        </w:rPr>
        <w:instrText xml:space="preserve">" </w:instrText>
      </w:r>
      <w:r>
        <w:rPr>
          <w:rFonts w:asciiTheme="minorEastAsia" w:hAnsiTheme="minorEastAsia" w:cstheme="minorEastAsia"/>
          <w:sz w:val="24"/>
          <w:szCs w:val="24"/>
        </w:rPr>
        <w:fldChar w:fldCharType="separate"/>
      </w:r>
      <w:r>
        <w:rPr>
          <w:rStyle w:val="11"/>
          <w:rFonts w:hint="eastAsia" w:asciiTheme="minorEastAsia" w:hAnsiTheme="minorEastAsia" w:cstheme="minorEastAsia"/>
          <w:sz w:val="24"/>
          <w:szCs w:val="24"/>
        </w:rPr>
        <w:t>https://www.degruyter.com/database/IRAN/html</w:t>
      </w:r>
      <w:r>
        <w:rPr>
          <w:rFonts w:asciiTheme="minorEastAsia" w:hAnsiTheme="minorEastAsia" w:cstheme="minorEastAsia"/>
          <w:sz w:val="24"/>
          <w:szCs w:val="24"/>
        </w:rPr>
        <w:fldChar w:fldCharType="end"/>
      </w:r>
    </w:p>
    <w:p w14:paraId="7D1FA640">
      <w:pPr>
        <w:widowControl/>
        <w:wordWrap w:val="0"/>
        <w:spacing w:line="360" w:lineRule="auto"/>
        <w:ind w:firstLine="480"/>
        <w:textAlignment w:val="baseline"/>
        <w:rPr>
          <w:rFonts w:hint="eastAsia" w:ascii="inherit" w:hAnsi="inherit" w:eastAsia="宋体" w:cs="宋体"/>
          <w:bCs/>
          <w:color w:val="FF0000"/>
          <w:kern w:val="0"/>
          <w:sz w:val="24"/>
          <w:szCs w:val="24"/>
        </w:rPr>
      </w:pPr>
      <w:r>
        <w:rPr>
          <w:rFonts w:ascii="inherit" w:hAnsi="inherit" w:eastAsia="宋体" w:cs="宋体"/>
          <w:b/>
          <w:bCs/>
          <w:color w:val="555555"/>
          <w:kern w:val="0"/>
          <w:sz w:val="24"/>
          <w:szCs w:val="24"/>
        </w:rPr>
        <w:t xml:space="preserve">数据库简介： </w:t>
      </w:r>
    </w:p>
    <w:p w14:paraId="7162EC2F">
      <w:pPr>
        <w:spacing w:before="120" w:after="120" w:line="360" w:lineRule="auto"/>
        <w:ind w:firstLine="420"/>
        <w:rPr>
          <w:sz w:val="24"/>
          <w:szCs w:val="24"/>
        </w:rPr>
      </w:pPr>
      <w:r>
        <w:rPr>
          <w:rFonts w:hint="eastAsia"/>
          <w:sz w:val="24"/>
          <w:szCs w:val="24"/>
        </w:rPr>
        <w:t>本在线原始档案库聚焦于波斯在两大强国夹缝中的生存之道，这两大强国分别是北面的俄罗斯和东面的英国印度政府。到了19世纪末，波斯在近半个世纪的时间里，成为了这两大势力角逐的棋盘。在此期间，英国凭借其在南部获得的宝贵石油特许权，逐渐成为主导的外国合作伙伴。英属印度和伦敦在制定战略规划和政策时，急需情报来为政治关系提供“背景”，为军事行动和秘密活动提供实用的“操作指南”。</w:t>
      </w:r>
    </w:p>
    <w:p w14:paraId="7B0BAAA7">
      <w:pPr>
        <w:spacing w:before="120" w:after="120" w:line="360" w:lineRule="auto"/>
        <w:ind w:firstLine="420"/>
        <w:rPr>
          <w:rFonts w:ascii="宋体" w:hAnsi="宋体" w:eastAsia="宋体"/>
          <w:sz w:val="24"/>
          <w:szCs w:val="24"/>
        </w:rPr>
      </w:pPr>
      <w:r>
        <w:rPr>
          <w:rFonts w:hint="eastAsia"/>
          <w:sz w:val="24"/>
          <w:szCs w:val="24"/>
        </w:rPr>
        <w:t>本档案库汇集了所有这些活动的成果</w:t>
      </w:r>
      <w:r>
        <w:rPr>
          <w:rFonts w:hint="eastAsia" w:ascii="Calibri" w:hAnsi="Calibri" w:eastAsia="宋体" w:cs="Calibri"/>
          <w:sz w:val="24"/>
          <w:szCs w:val="24"/>
        </w:rPr>
        <w:t>——</w:t>
      </w:r>
      <w:r>
        <w:rPr>
          <w:rFonts w:hint="eastAsia"/>
          <w:sz w:val="24"/>
          <w:szCs w:val="24"/>
        </w:rPr>
        <w:t xml:space="preserve">包括英国在以下方面的报道、规划和思考： </w:t>
      </w:r>
    </w:p>
    <w:p w14:paraId="099EB1F2">
      <w:pPr>
        <w:pStyle w:val="15"/>
        <w:numPr>
          <w:ilvl w:val="0"/>
          <w:numId w:val="5"/>
        </w:numPr>
        <w:spacing w:before="156" w:beforeLines="50" w:after="156" w:afterLines="50" w:line="360" w:lineRule="auto"/>
        <w:rPr>
          <w:rFonts w:ascii="宋体" w:hAnsi="宋体" w:eastAsia="宋体"/>
          <w:sz w:val="24"/>
          <w:szCs w:val="24"/>
        </w:rPr>
      </w:pPr>
      <w:r>
        <w:rPr>
          <w:rFonts w:ascii="Calibri" w:hAnsi="Calibri" w:eastAsia="宋体" w:cs="Calibri"/>
          <w:sz w:val="24"/>
          <w:szCs w:val="24"/>
        </w:rPr>
        <w:t>1905-1909</w:t>
      </w:r>
      <w:r>
        <w:rPr>
          <w:rFonts w:hint="eastAsia"/>
          <w:sz w:val="24"/>
          <w:szCs w:val="24"/>
        </w:rPr>
        <w:t>年的波斯革命；</w:t>
      </w:r>
    </w:p>
    <w:p w14:paraId="281D4C56">
      <w:pPr>
        <w:pStyle w:val="15"/>
        <w:numPr>
          <w:ilvl w:val="0"/>
          <w:numId w:val="5"/>
        </w:numPr>
        <w:spacing w:before="156" w:beforeLines="50" w:after="156" w:afterLines="50" w:line="360" w:lineRule="auto"/>
        <w:rPr>
          <w:rFonts w:ascii="宋体" w:hAnsi="宋体" w:eastAsia="宋体"/>
          <w:sz w:val="24"/>
          <w:szCs w:val="24"/>
        </w:rPr>
      </w:pPr>
      <w:r>
        <w:rPr>
          <w:rFonts w:ascii="Calibri" w:hAnsi="Calibri" w:eastAsia="宋体" w:cs="Calibri"/>
          <w:sz w:val="24"/>
          <w:szCs w:val="24"/>
        </w:rPr>
        <w:t>1907</w:t>
      </w:r>
      <w:r>
        <w:rPr>
          <w:rFonts w:hint="eastAsia"/>
          <w:sz w:val="24"/>
          <w:szCs w:val="24"/>
        </w:rPr>
        <w:t>年的英俄协定，该协定划分了该国非正式的势力范围；</w:t>
      </w:r>
    </w:p>
    <w:p w14:paraId="0706344C">
      <w:pPr>
        <w:pStyle w:val="15"/>
        <w:numPr>
          <w:ilvl w:val="0"/>
          <w:numId w:val="6"/>
        </w:numPr>
        <w:spacing w:before="156" w:beforeLines="50" w:after="156" w:afterLines="50" w:line="360" w:lineRule="auto"/>
        <w:rPr>
          <w:rFonts w:ascii="宋体" w:hAnsi="宋体" w:eastAsia="宋体"/>
          <w:sz w:val="24"/>
          <w:szCs w:val="24"/>
        </w:rPr>
      </w:pPr>
      <w:r>
        <w:rPr>
          <w:rFonts w:hint="eastAsia"/>
          <w:sz w:val="24"/>
          <w:szCs w:val="24"/>
        </w:rPr>
        <w:t>第一次世界大战干预；</w:t>
      </w:r>
    </w:p>
    <w:p w14:paraId="1410EBCE">
      <w:pPr>
        <w:pStyle w:val="15"/>
        <w:numPr>
          <w:ilvl w:val="0"/>
          <w:numId w:val="6"/>
        </w:numPr>
        <w:spacing w:before="156" w:beforeLines="50" w:after="156" w:afterLines="50" w:line="360" w:lineRule="auto"/>
        <w:rPr>
          <w:rFonts w:ascii="宋体" w:hAnsi="宋体" w:eastAsia="宋体"/>
          <w:sz w:val="24"/>
          <w:szCs w:val="24"/>
        </w:rPr>
      </w:pPr>
      <w:r>
        <w:rPr>
          <w:rFonts w:hint="eastAsia"/>
          <w:sz w:val="24"/>
          <w:szCs w:val="24"/>
        </w:rPr>
        <w:t>共产党的威胁；</w:t>
      </w:r>
    </w:p>
    <w:p w14:paraId="6832E70B">
      <w:pPr>
        <w:pStyle w:val="15"/>
        <w:numPr>
          <w:ilvl w:val="0"/>
          <w:numId w:val="6"/>
        </w:numPr>
        <w:spacing w:before="156" w:beforeLines="50" w:after="156" w:afterLines="50" w:line="360" w:lineRule="auto"/>
        <w:rPr>
          <w:rFonts w:ascii="宋体" w:hAnsi="宋体" w:eastAsia="宋体"/>
          <w:sz w:val="24"/>
          <w:szCs w:val="24"/>
        </w:rPr>
      </w:pPr>
      <w:r>
        <w:rPr>
          <w:rFonts w:hint="eastAsia"/>
          <w:sz w:val="24"/>
          <w:szCs w:val="24"/>
        </w:rPr>
        <w:t>里扎</w:t>
      </w:r>
      <w:r>
        <w:rPr>
          <w:rFonts w:hint="eastAsia" w:ascii="Calibri" w:hAnsi="Calibri" w:eastAsia="宋体" w:cs="Calibri"/>
          <w:sz w:val="24"/>
          <w:szCs w:val="24"/>
        </w:rPr>
        <w:t>·</w:t>
      </w:r>
      <w:r>
        <w:rPr>
          <w:rFonts w:hint="eastAsia"/>
          <w:sz w:val="24"/>
          <w:szCs w:val="24"/>
        </w:rPr>
        <w:t>沙阿统治时期；</w:t>
      </w:r>
    </w:p>
    <w:p w14:paraId="03D68D75">
      <w:pPr>
        <w:pStyle w:val="15"/>
        <w:numPr>
          <w:ilvl w:val="0"/>
          <w:numId w:val="6"/>
        </w:numPr>
        <w:spacing w:before="156" w:beforeLines="50" w:after="156" w:afterLines="50" w:line="360" w:lineRule="auto"/>
        <w:rPr>
          <w:rFonts w:ascii="宋体" w:hAnsi="宋体" w:eastAsia="宋体"/>
          <w:sz w:val="24"/>
          <w:szCs w:val="24"/>
        </w:rPr>
      </w:pPr>
      <w:r>
        <w:rPr>
          <w:rFonts w:hint="eastAsia"/>
          <w:sz w:val="24"/>
          <w:szCs w:val="24"/>
        </w:rPr>
        <w:t>第二次世界大战干预；</w:t>
      </w:r>
    </w:p>
    <w:p w14:paraId="58FD69AA">
      <w:pPr>
        <w:pStyle w:val="15"/>
        <w:numPr>
          <w:ilvl w:val="0"/>
          <w:numId w:val="6"/>
        </w:numPr>
        <w:spacing w:before="156" w:beforeLines="50" w:after="156" w:afterLines="50" w:line="360" w:lineRule="auto"/>
        <w:rPr>
          <w:rFonts w:ascii="宋体" w:hAnsi="宋体" w:eastAsia="宋体"/>
          <w:sz w:val="24"/>
          <w:szCs w:val="24"/>
        </w:rPr>
      </w:pPr>
      <w:r>
        <w:rPr>
          <w:rFonts w:hint="eastAsia"/>
          <w:sz w:val="24"/>
          <w:szCs w:val="24"/>
        </w:rPr>
        <w:t>抵消德国的影响；</w:t>
      </w:r>
    </w:p>
    <w:p w14:paraId="76EF3F74">
      <w:pPr>
        <w:pStyle w:val="15"/>
        <w:numPr>
          <w:ilvl w:val="0"/>
          <w:numId w:val="6"/>
        </w:numPr>
        <w:spacing w:before="156" w:beforeLines="50" w:after="156" w:afterLines="50" w:line="360" w:lineRule="auto"/>
        <w:rPr>
          <w:rFonts w:ascii="宋体" w:hAnsi="宋体" w:eastAsia="宋体"/>
          <w:sz w:val="24"/>
          <w:szCs w:val="24"/>
        </w:rPr>
      </w:pPr>
      <w:r>
        <w:rPr>
          <w:rFonts w:hint="eastAsia"/>
          <w:sz w:val="24"/>
          <w:szCs w:val="24"/>
        </w:rPr>
        <w:t>穆罕默德</w:t>
      </w:r>
      <w:r>
        <w:rPr>
          <w:rFonts w:hint="eastAsia" w:ascii="Calibri" w:hAnsi="Calibri" w:eastAsia="宋体" w:cs="Calibri"/>
          <w:sz w:val="24"/>
          <w:szCs w:val="24"/>
        </w:rPr>
        <w:t>·</w:t>
      </w:r>
      <w:r>
        <w:rPr>
          <w:rFonts w:hint="eastAsia"/>
          <w:sz w:val="24"/>
          <w:szCs w:val="24"/>
        </w:rPr>
        <w:t>里扎的继承权</w:t>
      </w:r>
    </w:p>
    <w:p w14:paraId="53624DE2">
      <w:pPr>
        <w:spacing w:before="120" w:after="120" w:line="360" w:lineRule="auto"/>
        <w:ind w:firstLine="420"/>
        <w:rPr>
          <w:rFonts w:ascii="宋体" w:hAnsi="宋体" w:eastAsia="宋体"/>
          <w:b/>
          <w:bCs/>
          <w:sz w:val="24"/>
          <w:szCs w:val="24"/>
        </w:rPr>
      </w:pPr>
      <w:r>
        <w:rPr>
          <w:rFonts w:hint="eastAsia"/>
          <w:b/>
          <w:bCs/>
          <w:sz w:val="24"/>
          <w:szCs w:val="24"/>
        </w:rPr>
        <w:t>占主导地位的外国合作伙伴</w:t>
      </w:r>
    </w:p>
    <w:p w14:paraId="7D52C3F8">
      <w:pPr>
        <w:spacing w:before="120" w:after="120" w:line="360" w:lineRule="auto"/>
        <w:ind w:firstLine="420"/>
        <w:rPr>
          <w:sz w:val="24"/>
          <w:szCs w:val="24"/>
        </w:rPr>
      </w:pPr>
      <w:r>
        <w:rPr>
          <w:rFonts w:hint="eastAsia"/>
          <w:sz w:val="24"/>
          <w:szCs w:val="24"/>
        </w:rPr>
        <w:t>英国与波斯的交往可以追溯到</w:t>
      </w:r>
      <w:r>
        <w:rPr>
          <w:rFonts w:ascii="Calibri" w:hAnsi="Calibri" w:eastAsia="宋体" w:cs="Calibri"/>
          <w:sz w:val="24"/>
          <w:szCs w:val="24"/>
        </w:rPr>
        <w:t>17</w:t>
      </w:r>
      <w:r>
        <w:rPr>
          <w:rFonts w:hint="eastAsia"/>
          <w:sz w:val="24"/>
          <w:szCs w:val="24"/>
        </w:rPr>
        <w:t>世纪初东印度公司的首次贸易接触。但到了</w:t>
      </w:r>
      <w:r>
        <w:rPr>
          <w:rFonts w:ascii="Calibri" w:hAnsi="Calibri" w:eastAsia="宋体" w:cs="Calibri"/>
          <w:sz w:val="24"/>
          <w:szCs w:val="24"/>
        </w:rPr>
        <w:t>19</w:t>
      </w:r>
      <w:r>
        <w:rPr>
          <w:rFonts w:hint="eastAsia"/>
          <w:sz w:val="24"/>
          <w:szCs w:val="24"/>
        </w:rPr>
        <w:t>世纪末，当波斯的经济生活主要掌握在俄罗斯和英国的特许经营者手中时，波斯似乎甚至有可能成为俄罗斯的保护国。相反，英国却成为了占主导地位的外国合作伙伴（尽管几乎从未受到过欢迎）。</w:t>
      </w:r>
    </w:p>
    <w:p w14:paraId="6B34FE5F">
      <w:pPr>
        <w:spacing w:before="120" w:after="120" w:line="360" w:lineRule="auto"/>
        <w:ind w:firstLine="420"/>
        <w:rPr>
          <w:b/>
          <w:bCs/>
          <w:sz w:val="24"/>
          <w:szCs w:val="24"/>
        </w:rPr>
      </w:pPr>
      <w:r>
        <w:rPr>
          <w:rFonts w:hint="eastAsia"/>
          <w:b/>
          <w:bCs/>
          <w:sz w:val="24"/>
          <w:szCs w:val="24"/>
        </w:rPr>
        <w:t>信息收集</w:t>
      </w:r>
    </w:p>
    <w:p w14:paraId="6B0F7753">
      <w:pPr>
        <w:spacing w:before="120" w:after="120" w:line="360" w:lineRule="auto"/>
        <w:ind w:firstLine="420"/>
        <w:rPr>
          <w:sz w:val="24"/>
          <w:szCs w:val="24"/>
        </w:rPr>
      </w:pPr>
      <w:r>
        <w:rPr>
          <w:rFonts w:hint="eastAsia"/>
          <w:sz w:val="24"/>
          <w:szCs w:val="24"/>
        </w:rPr>
        <w:t>英属印度和伦敦的战略规划和政策制定需要信息</w:t>
      </w:r>
      <w:r>
        <w:rPr>
          <w:rFonts w:hint="eastAsia" w:ascii="Calibri" w:hAnsi="Calibri" w:eastAsia="宋体" w:cs="Calibri"/>
          <w:sz w:val="24"/>
          <w:szCs w:val="24"/>
        </w:rPr>
        <w:t>——</w:t>
      </w:r>
      <w:r>
        <w:rPr>
          <w:rFonts w:hint="eastAsia"/>
          <w:sz w:val="24"/>
          <w:szCs w:val="24"/>
        </w:rPr>
        <w:t>关于国内政治、部落集团、竞争、人物、资源、通信和地形的情报</w:t>
      </w:r>
      <w:r>
        <w:rPr>
          <w:rFonts w:hint="eastAsia" w:ascii="Calibri" w:hAnsi="Calibri" w:eastAsia="宋体" w:cs="Calibri"/>
          <w:sz w:val="24"/>
          <w:szCs w:val="24"/>
        </w:rPr>
        <w:t>——</w:t>
      </w:r>
      <w:r>
        <w:rPr>
          <w:rFonts w:hint="eastAsia"/>
          <w:sz w:val="24"/>
          <w:szCs w:val="24"/>
        </w:rPr>
        <w:t>为政治关系提供</w:t>
      </w:r>
      <w:r>
        <w:rPr>
          <w:rFonts w:ascii="Calibri" w:hAnsi="Calibri" w:eastAsia="宋体" w:cs="Calibri"/>
          <w:sz w:val="24"/>
          <w:szCs w:val="24"/>
        </w:rPr>
        <w:t>"</w:t>
      </w:r>
      <w:r>
        <w:rPr>
          <w:rFonts w:hint="eastAsia"/>
          <w:sz w:val="24"/>
          <w:szCs w:val="24"/>
        </w:rPr>
        <w:t>背景</w:t>
      </w:r>
      <w:r>
        <w:rPr>
          <w:rFonts w:ascii="Calibri" w:hAnsi="Calibri" w:eastAsia="宋体" w:cs="Calibri"/>
          <w:sz w:val="24"/>
          <w:szCs w:val="24"/>
        </w:rPr>
        <w:t>"</w:t>
      </w:r>
      <w:r>
        <w:rPr>
          <w:rFonts w:hint="eastAsia"/>
          <w:sz w:val="24"/>
          <w:szCs w:val="24"/>
        </w:rPr>
        <w:t>，为军事行动和秘密活动提供实用“指南”。</w:t>
      </w:r>
    </w:p>
    <w:p w14:paraId="4B618BE2">
      <w:pPr>
        <w:spacing w:before="120" w:after="120" w:line="360" w:lineRule="auto"/>
        <w:ind w:firstLine="420"/>
        <w:rPr>
          <w:sz w:val="24"/>
          <w:szCs w:val="24"/>
        </w:rPr>
      </w:pPr>
      <w:r>
        <w:rPr>
          <w:rFonts w:hint="eastAsia"/>
          <w:sz w:val="24"/>
          <w:szCs w:val="24"/>
        </w:rPr>
        <w:t>信息收集工作首先由英国驻波斯外交代表负责。英国方面有四个角色</w:t>
      </w:r>
      <w:r>
        <w:rPr>
          <w:rFonts w:hint="eastAsia" w:ascii="Calibri" w:hAnsi="Calibri" w:eastAsia="宋体" w:cs="Calibri"/>
          <w:sz w:val="24"/>
          <w:szCs w:val="24"/>
        </w:rPr>
        <w:t>——</w:t>
      </w:r>
      <w:r>
        <w:rPr>
          <w:rFonts w:hint="eastAsia"/>
          <w:sz w:val="24"/>
          <w:szCs w:val="24"/>
        </w:rPr>
        <w:t>伦敦的外交部和陆军部、印度政府外交部和印度陆军总参谋部。在波斯任职的人员来自伦敦的外交和领事部门以及英国军队，或来自印度文职部门、印度政治服务部门和印度军队。</w:t>
      </w:r>
    </w:p>
    <w:p w14:paraId="78404A1E">
      <w:pPr>
        <w:spacing w:before="120" w:after="120" w:line="360" w:lineRule="auto"/>
        <w:ind w:firstLine="420"/>
        <w:rPr>
          <w:b/>
          <w:bCs/>
          <w:sz w:val="24"/>
          <w:szCs w:val="24"/>
        </w:rPr>
      </w:pPr>
      <w:r>
        <w:rPr>
          <w:rFonts w:hint="eastAsia"/>
          <w:b/>
          <w:bCs/>
          <w:sz w:val="24"/>
          <w:szCs w:val="24"/>
        </w:rPr>
        <w:t>大使馆和领事馆（总领事馆）</w:t>
      </w:r>
    </w:p>
    <w:p w14:paraId="55686C1D">
      <w:pPr>
        <w:spacing w:before="120" w:after="120" w:line="360" w:lineRule="auto"/>
        <w:ind w:firstLine="420"/>
        <w:rPr>
          <w:sz w:val="24"/>
          <w:szCs w:val="24"/>
        </w:rPr>
      </w:pPr>
      <w:r>
        <w:rPr>
          <w:rFonts w:hint="eastAsia"/>
          <w:sz w:val="24"/>
          <w:szCs w:val="24"/>
        </w:rPr>
        <w:t>由于认为俄国的图谋和英国的战略利益十分重要，英国在该国的外交活动异常频繁。除了</w:t>
      </w:r>
      <w:r>
        <w:rPr>
          <w:rFonts w:ascii="Calibri" w:hAnsi="Calibri" w:eastAsia="宋体" w:cs="Calibri"/>
          <w:sz w:val="24"/>
          <w:szCs w:val="24"/>
        </w:rPr>
        <w:t>19</w:t>
      </w:r>
      <w:r>
        <w:rPr>
          <w:rFonts w:hint="eastAsia"/>
          <w:sz w:val="24"/>
          <w:szCs w:val="24"/>
        </w:rPr>
        <w:t>世纪</w:t>
      </w:r>
      <w:r>
        <w:rPr>
          <w:rFonts w:ascii="Calibri" w:hAnsi="Calibri" w:eastAsia="宋体" w:cs="Calibri"/>
          <w:sz w:val="24"/>
          <w:szCs w:val="24"/>
        </w:rPr>
        <w:t>50</w:t>
      </w:r>
      <w:r>
        <w:rPr>
          <w:rFonts w:hint="eastAsia"/>
          <w:sz w:val="24"/>
          <w:szCs w:val="24"/>
        </w:rPr>
        <w:t>年代在德黑兰设立的英国常驻公使馆外，</w:t>
      </w:r>
      <w:r>
        <w:rPr>
          <w:rFonts w:ascii="Calibri" w:hAnsi="Calibri" w:eastAsia="宋体" w:cs="Calibri"/>
          <w:sz w:val="24"/>
          <w:szCs w:val="24"/>
        </w:rPr>
        <w:t>1878</w:t>
      </w:r>
      <w:r>
        <w:rPr>
          <w:rFonts w:hint="eastAsia"/>
          <w:sz w:val="24"/>
          <w:szCs w:val="24"/>
        </w:rPr>
        <w:t>年、</w:t>
      </w:r>
      <w:r>
        <w:rPr>
          <w:rFonts w:ascii="Calibri" w:hAnsi="Calibri" w:eastAsia="宋体" w:cs="Calibri"/>
          <w:sz w:val="24"/>
          <w:szCs w:val="24"/>
        </w:rPr>
        <w:t>1891</w:t>
      </w:r>
      <w:r>
        <w:rPr>
          <w:rFonts w:hint="eastAsia"/>
          <w:sz w:val="24"/>
          <w:szCs w:val="24"/>
        </w:rPr>
        <w:t>年和</w:t>
      </w:r>
      <w:r>
        <w:rPr>
          <w:rFonts w:ascii="Calibri" w:hAnsi="Calibri" w:eastAsia="宋体" w:cs="Calibri"/>
          <w:sz w:val="24"/>
          <w:szCs w:val="24"/>
        </w:rPr>
        <w:t>1889</w:t>
      </w:r>
      <w:r>
        <w:rPr>
          <w:rFonts w:hint="eastAsia"/>
          <w:sz w:val="24"/>
          <w:szCs w:val="24"/>
        </w:rPr>
        <w:t>年分别在布希尔、伊斯法罕和梅斯赫德设立了总领事馆，在阿瓦士、克尔曼、克尔曼沙赫、霍拉姆沙赫尔、雷什特、塞斯坦和设拉子也分别设立了领事馆。</w:t>
      </w:r>
    </w:p>
    <w:p w14:paraId="22088142">
      <w:pPr>
        <w:spacing w:before="120" w:after="120" w:line="360" w:lineRule="auto"/>
        <w:ind w:firstLine="420"/>
        <w:rPr>
          <w:b/>
          <w:bCs/>
          <w:sz w:val="24"/>
          <w:szCs w:val="24"/>
        </w:rPr>
      </w:pPr>
      <w:r>
        <w:rPr>
          <w:rFonts w:hint="eastAsia"/>
          <w:b/>
          <w:bCs/>
          <w:sz w:val="24"/>
          <w:szCs w:val="24"/>
        </w:rPr>
        <w:t>政治情报</w:t>
      </w:r>
    </w:p>
    <w:p w14:paraId="3B5389F5">
      <w:pPr>
        <w:spacing w:before="120" w:after="120" w:line="360" w:lineRule="auto"/>
        <w:ind w:firstLine="420"/>
        <w:rPr>
          <w:sz w:val="24"/>
          <w:szCs w:val="24"/>
        </w:rPr>
      </w:pPr>
      <w:r>
        <w:rPr>
          <w:rFonts w:hint="eastAsia"/>
          <w:sz w:val="24"/>
          <w:szCs w:val="24"/>
        </w:rPr>
        <w:t>两个核心系列是印度政府外交部印刷信函和</w:t>
      </w:r>
      <w:r>
        <w:rPr>
          <w:rFonts w:ascii="Calibri" w:hAnsi="Calibri" w:eastAsia="宋体" w:cs="Calibri"/>
          <w:sz w:val="24"/>
          <w:szCs w:val="24"/>
        </w:rPr>
        <w:t>1910-1948</w:t>
      </w:r>
      <w:r>
        <w:rPr>
          <w:rFonts w:hint="eastAsia"/>
          <w:sz w:val="24"/>
          <w:szCs w:val="24"/>
        </w:rPr>
        <w:t>年外交部年度政治报告。第一辑约有五千页，分为四十四个部分，印制了</w:t>
      </w:r>
      <w:r>
        <w:rPr>
          <w:rFonts w:ascii="Calibri" w:hAnsi="Calibri" w:eastAsia="宋体" w:cs="Calibri"/>
          <w:sz w:val="24"/>
          <w:szCs w:val="24"/>
        </w:rPr>
        <w:t>1916</w:t>
      </w:r>
      <w:r>
        <w:rPr>
          <w:rFonts w:hint="eastAsia"/>
          <w:sz w:val="24"/>
          <w:szCs w:val="24"/>
        </w:rPr>
        <w:t>年至</w:t>
      </w:r>
      <w:r>
        <w:rPr>
          <w:rFonts w:ascii="Calibri" w:hAnsi="Calibri" w:eastAsia="宋体" w:cs="Calibri"/>
          <w:sz w:val="24"/>
          <w:szCs w:val="24"/>
        </w:rPr>
        <w:t>1940</w:t>
      </w:r>
      <w:r>
        <w:rPr>
          <w:rFonts w:hint="eastAsia"/>
          <w:sz w:val="24"/>
          <w:szCs w:val="24"/>
        </w:rPr>
        <w:t>年期间与波斯有关的所有来往文件；尽管页码经常变动，但是每个</w:t>
      </w:r>
      <w:r>
        <w:rPr>
          <w:rFonts w:hint="eastAsia" w:ascii="Calibri" w:hAnsi="Calibri" w:eastAsia="宋体" w:cs="Calibri"/>
          <w:sz w:val="24"/>
          <w:szCs w:val="24"/>
        </w:rPr>
        <w:t>“</w:t>
      </w:r>
      <w:r>
        <w:rPr>
          <w:rFonts w:hint="eastAsia"/>
          <w:sz w:val="24"/>
          <w:szCs w:val="24"/>
        </w:rPr>
        <w:t>部分</w:t>
      </w:r>
      <w:r>
        <w:rPr>
          <w:rFonts w:hint="eastAsia" w:ascii="Calibri" w:hAnsi="Calibri" w:eastAsia="宋体" w:cs="Calibri"/>
          <w:sz w:val="24"/>
          <w:szCs w:val="24"/>
        </w:rPr>
        <w:t>”</w:t>
      </w:r>
      <w:r>
        <w:rPr>
          <w:rFonts w:hint="eastAsia"/>
          <w:sz w:val="24"/>
          <w:szCs w:val="24"/>
        </w:rPr>
        <w:t>内的文件都按连续编号顺序排列。此外，还有由外交部或印度政府印制的各岗位领事日记</w:t>
      </w:r>
      <w:r>
        <w:rPr>
          <w:rFonts w:ascii="Calibri" w:hAnsi="Calibri" w:eastAsia="宋体" w:cs="Calibri"/>
          <w:sz w:val="24"/>
          <w:szCs w:val="24"/>
        </w:rPr>
        <w:t>/</w:t>
      </w:r>
      <w:r>
        <w:rPr>
          <w:rFonts w:hint="eastAsia"/>
          <w:sz w:val="24"/>
          <w:szCs w:val="24"/>
        </w:rPr>
        <w:t>摘要长卷（尽管从</w:t>
      </w:r>
      <w:r>
        <w:rPr>
          <w:rFonts w:ascii="Calibri" w:hAnsi="Calibri" w:eastAsia="宋体" w:cs="Calibri"/>
          <w:sz w:val="24"/>
          <w:szCs w:val="24"/>
        </w:rPr>
        <w:t>1933/34</w:t>
      </w:r>
      <w:r>
        <w:rPr>
          <w:rFonts w:hint="eastAsia"/>
          <w:sz w:val="24"/>
          <w:szCs w:val="24"/>
        </w:rPr>
        <w:t>年左右开始采用排印本）。这些日记的编号顺序为每年或年内的发行日期，从每月到每周不等。</w:t>
      </w:r>
    </w:p>
    <w:p w14:paraId="0EE052B3">
      <w:pPr>
        <w:spacing w:before="120" w:after="120" w:line="360" w:lineRule="auto"/>
        <w:ind w:firstLine="420"/>
        <w:rPr>
          <w:sz w:val="24"/>
          <w:szCs w:val="24"/>
        </w:rPr>
      </w:pPr>
      <w:r>
        <w:rPr>
          <w:rFonts w:hint="eastAsia"/>
          <w:sz w:val="24"/>
          <w:szCs w:val="24"/>
        </w:rPr>
        <w:t>传递工作极其繁琐。主要是外交部职位（如德黑兰、克尔曼沙赫、霍拉姆沙赫尔、雷什特、设拉子）向伦敦的外交部报告，然后将报告副本寄给印度办事处。印度政府哨所（如阿瓦士、克尔曼、梅斯赫德、塞斯坦）向德里报告，报告副本被送往伦敦印度办事处，再从那里转交给外交部。</w:t>
      </w:r>
    </w:p>
    <w:p w14:paraId="4ED15692">
      <w:pPr>
        <w:spacing w:before="120" w:after="120" w:line="360" w:lineRule="auto"/>
        <w:ind w:firstLine="420"/>
        <w:rPr>
          <w:b/>
          <w:bCs/>
          <w:sz w:val="24"/>
          <w:szCs w:val="24"/>
        </w:rPr>
      </w:pPr>
      <w:r>
        <w:rPr>
          <w:rFonts w:hint="eastAsia"/>
          <w:b/>
          <w:bCs/>
          <w:sz w:val="24"/>
          <w:szCs w:val="24"/>
        </w:rPr>
        <w:t>军事情报</w:t>
      </w:r>
    </w:p>
    <w:p w14:paraId="4FF30C0F">
      <w:pPr>
        <w:spacing w:before="120" w:after="120" w:line="360" w:lineRule="auto"/>
        <w:ind w:firstLine="420"/>
        <w:rPr>
          <w:sz w:val="24"/>
          <w:szCs w:val="24"/>
        </w:rPr>
      </w:pPr>
      <w:r>
        <w:rPr>
          <w:rFonts w:ascii="Calibri" w:hAnsi="Calibri" w:eastAsia="宋体" w:cs="Calibri"/>
          <w:sz w:val="24"/>
          <w:szCs w:val="24"/>
        </w:rPr>
        <w:t>1878</w:t>
      </w:r>
      <w:r>
        <w:rPr>
          <w:rFonts w:hint="eastAsia"/>
          <w:sz w:val="24"/>
          <w:szCs w:val="24"/>
        </w:rPr>
        <w:t>年，印度陆军总部军需总监部成立了一个小型情报处。</w:t>
      </w:r>
      <w:r>
        <w:rPr>
          <w:rFonts w:ascii="Calibri" w:hAnsi="Calibri" w:eastAsia="宋体" w:cs="Calibri"/>
          <w:sz w:val="24"/>
          <w:szCs w:val="24"/>
        </w:rPr>
        <w:t>1912-1913</w:t>
      </w:r>
      <w:r>
        <w:rPr>
          <w:rFonts w:hint="eastAsia"/>
          <w:sz w:val="24"/>
          <w:szCs w:val="24"/>
        </w:rPr>
        <w:t>年印度陆军委员会进行了广泛的改革，在总参谋部军事行动局内设立了情报科（</w:t>
      </w:r>
      <w:r>
        <w:rPr>
          <w:rFonts w:ascii="Calibri" w:hAnsi="Calibri" w:eastAsia="宋体" w:cs="Calibri"/>
          <w:sz w:val="24"/>
          <w:szCs w:val="24"/>
        </w:rPr>
        <w:t>M.O.3</w:t>
      </w:r>
      <w:r>
        <w:rPr>
          <w:rFonts w:hint="eastAsia"/>
          <w:sz w:val="24"/>
          <w:szCs w:val="24"/>
        </w:rPr>
        <w:t>），下设四个地域分科（其中一个负责波斯），第五个分科专门负责</w:t>
      </w:r>
      <w:r>
        <w:rPr>
          <w:rFonts w:hint="eastAsia" w:ascii="Calibri" w:hAnsi="Calibri" w:eastAsia="宋体" w:cs="Calibri"/>
          <w:sz w:val="24"/>
          <w:szCs w:val="24"/>
        </w:rPr>
        <w:t>“</w:t>
      </w:r>
      <w:r>
        <w:rPr>
          <w:rFonts w:hint="eastAsia"/>
          <w:sz w:val="24"/>
          <w:szCs w:val="24"/>
        </w:rPr>
        <w:t>保密性质的特殊工作</w:t>
      </w:r>
      <w:r>
        <w:rPr>
          <w:rFonts w:hint="eastAsia" w:ascii="Calibri" w:hAnsi="Calibri" w:eastAsia="宋体" w:cs="Calibri"/>
          <w:sz w:val="24"/>
          <w:szCs w:val="24"/>
        </w:rPr>
        <w:t>”</w:t>
      </w:r>
      <w:r>
        <w:rPr>
          <w:rFonts w:hint="eastAsia"/>
          <w:sz w:val="24"/>
          <w:szCs w:val="24"/>
        </w:rPr>
        <w:t>。</w:t>
      </w:r>
    </w:p>
    <w:p w14:paraId="3A22804E">
      <w:pPr>
        <w:spacing w:before="120" w:after="120" w:line="360" w:lineRule="auto"/>
        <w:ind w:firstLine="420"/>
        <w:rPr>
          <w:sz w:val="24"/>
          <w:szCs w:val="24"/>
        </w:rPr>
      </w:pPr>
      <w:r>
        <w:rPr>
          <w:rFonts w:hint="eastAsia"/>
          <w:sz w:val="24"/>
          <w:szCs w:val="24"/>
        </w:rPr>
        <w:t>印度总参谋部负责编制大量地名录、路线书、军事报告和名人录。情报来源包括外交使团武官、驻外军官（特别是在两次世界大战期间</w:t>
      </w:r>
      <w:r>
        <w:rPr>
          <w:sz w:val="24"/>
          <w:szCs w:val="24"/>
        </w:rPr>
        <w:t>British Intelligence on Afghanistan and Its Frontiers</w:t>
      </w:r>
      <w:r>
        <w:rPr>
          <w:rFonts w:hint="eastAsia"/>
          <w:sz w:val="24"/>
          <w:szCs w:val="24"/>
        </w:rPr>
        <w:t>）、他们的波斯联系人和其他联系人，以及秘密雇用的当地特工。武官们还定期编写情报摘要。梅斯赫德领事馆是俄国中亚和阿富汗边境事态发展的一个特别重要的监听站。</w:t>
      </w:r>
      <w:r>
        <w:rPr>
          <w:rFonts w:ascii="Calibri" w:hAnsi="Calibri" w:eastAsia="宋体" w:cs="Calibri"/>
          <w:sz w:val="24"/>
          <w:szCs w:val="24"/>
        </w:rPr>
        <w:t>1913</w:t>
      </w:r>
      <w:r>
        <w:rPr>
          <w:rFonts w:hint="eastAsia"/>
          <w:sz w:val="24"/>
          <w:szCs w:val="24"/>
        </w:rPr>
        <w:t>年，外交部规定收集军事情报不属于英国领事馆的职责范围，因此这项任务几乎完全由印度总参谋部承担，陆军部也提供了一些财政投入。</w:t>
      </w:r>
    </w:p>
    <w:p w14:paraId="58A0F68B">
      <w:pPr>
        <w:spacing w:before="120" w:after="120" w:line="360" w:lineRule="auto"/>
        <w:ind w:firstLine="420"/>
        <w:rPr>
          <w:sz w:val="24"/>
          <w:szCs w:val="24"/>
        </w:rPr>
      </w:pPr>
      <w:r>
        <w:rPr>
          <w:rFonts w:hint="eastAsia"/>
          <w:sz w:val="24"/>
          <w:szCs w:val="24"/>
        </w:rPr>
        <w:t>各卷地名录、路线书、军事报告和名人汇编的地理覆盖范围大致相同：</w:t>
      </w:r>
    </w:p>
    <w:p w14:paraId="321F13E7">
      <w:pPr>
        <w:pStyle w:val="15"/>
        <w:numPr>
          <w:ilvl w:val="0"/>
          <w:numId w:val="7"/>
        </w:numPr>
        <w:spacing w:before="156" w:beforeLines="50" w:after="156" w:afterLines="50" w:line="360" w:lineRule="auto"/>
        <w:rPr>
          <w:sz w:val="24"/>
          <w:szCs w:val="24"/>
        </w:rPr>
      </w:pPr>
      <w:r>
        <w:rPr>
          <w:rFonts w:hint="eastAsia"/>
          <w:sz w:val="24"/>
          <w:szCs w:val="24"/>
        </w:rPr>
        <w:t>第</w:t>
      </w:r>
      <w:r>
        <w:rPr>
          <w:sz w:val="24"/>
          <w:szCs w:val="24"/>
        </w:rPr>
        <w:t>1</w:t>
      </w:r>
      <w:r>
        <w:rPr>
          <w:rFonts w:hint="eastAsia"/>
          <w:sz w:val="24"/>
          <w:szCs w:val="24"/>
        </w:rPr>
        <w:t>卷：东北部（呼罗珊、凯恩、塞斯坦）；</w:t>
      </w:r>
    </w:p>
    <w:p w14:paraId="6D4B63DA">
      <w:pPr>
        <w:pStyle w:val="15"/>
        <w:numPr>
          <w:ilvl w:val="0"/>
          <w:numId w:val="7"/>
        </w:numPr>
        <w:spacing w:before="156" w:beforeLines="50" w:after="156" w:afterLines="50" w:line="360" w:lineRule="auto"/>
        <w:rPr>
          <w:sz w:val="24"/>
          <w:szCs w:val="24"/>
        </w:rPr>
      </w:pPr>
      <w:r>
        <w:rPr>
          <w:rFonts w:hint="eastAsia"/>
          <w:sz w:val="24"/>
          <w:szCs w:val="24"/>
        </w:rPr>
        <w:t>第</w:t>
      </w:r>
      <w:r>
        <w:rPr>
          <w:sz w:val="24"/>
          <w:szCs w:val="24"/>
        </w:rPr>
        <w:t>2</w:t>
      </w:r>
      <w:r>
        <w:rPr>
          <w:rFonts w:hint="eastAsia"/>
          <w:sz w:val="24"/>
          <w:szCs w:val="24"/>
        </w:rPr>
        <w:t>卷：北部和中部（包括阿塞拜疆、库尔德斯坦、克尔曼沙阿、德黑兰）；</w:t>
      </w:r>
    </w:p>
    <w:p w14:paraId="0042815C">
      <w:pPr>
        <w:pStyle w:val="15"/>
        <w:numPr>
          <w:ilvl w:val="0"/>
          <w:numId w:val="7"/>
        </w:numPr>
        <w:spacing w:before="156" w:beforeLines="50" w:after="156" w:afterLines="50" w:line="360" w:lineRule="auto"/>
        <w:rPr>
          <w:sz w:val="24"/>
          <w:szCs w:val="24"/>
        </w:rPr>
      </w:pPr>
      <w:r>
        <w:rPr>
          <w:rFonts w:hint="eastAsia"/>
          <w:sz w:val="24"/>
          <w:szCs w:val="24"/>
        </w:rPr>
        <w:t>第</w:t>
      </w:r>
      <w:r>
        <w:rPr>
          <w:sz w:val="24"/>
          <w:szCs w:val="24"/>
        </w:rPr>
        <w:t>3</w:t>
      </w:r>
      <w:r>
        <w:rPr>
          <w:rFonts w:hint="eastAsia"/>
          <w:sz w:val="24"/>
          <w:szCs w:val="24"/>
        </w:rPr>
        <w:t>卷：西南部（卢里斯坦、巴赫蒂亚里、伊斯法罕、阿拉伯斯坦、胡齐斯坦、库格鲁）；</w:t>
      </w:r>
    </w:p>
    <w:p w14:paraId="12694DEA">
      <w:pPr>
        <w:pStyle w:val="15"/>
        <w:numPr>
          <w:ilvl w:val="0"/>
          <w:numId w:val="7"/>
        </w:numPr>
        <w:spacing w:before="156" w:beforeLines="50" w:after="156" w:afterLines="50" w:line="360" w:lineRule="auto"/>
        <w:rPr>
          <w:sz w:val="24"/>
          <w:szCs w:val="24"/>
        </w:rPr>
      </w:pPr>
      <w:r>
        <w:rPr>
          <w:rFonts w:hint="eastAsia"/>
          <w:sz w:val="24"/>
          <w:szCs w:val="24"/>
        </w:rPr>
        <w:t>第</w:t>
      </w:r>
      <w:r>
        <w:rPr>
          <w:sz w:val="24"/>
          <w:szCs w:val="24"/>
        </w:rPr>
        <w:t>4/1</w:t>
      </w:r>
      <w:r>
        <w:rPr>
          <w:rFonts w:hint="eastAsia"/>
          <w:sz w:val="24"/>
          <w:szCs w:val="24"/>
        </w:rPr>
        <w:t>卷：南部（亚兹德、法尔斯、拉里斯坦、海湾港口）；</w:t>
      </w:r>
    </w:p>
    <w:p w14:paraId="6CDEB2EB">
      <w:pPr>
        <w:pStyle w:val="15"/>
        <w:numPr>
          <w:ilvl w:val="0"/>
          <w:numId w:val="7"/>
        </w:numPr>
        <w:spacing w:before="156" w:beforeLines="50" w:after="156" w:afterLines="50" w:line="360" w:lineRule="auto"/>
        <w:rPr>
          <w:sz w:val="24"/>
          <w:szCs w:val="24"/>
        </w:rPr>
      </w:pPr>
      <w:r>
        <w:rPr>
          <w:rFonts w:hint="eastAsia"/>
          <w:sz w:val="24"/>
          <w:szCs w:val="24"/>
        </w:rPr>
        <w:t>第</w:t>
      </w:r>
      <w:r>
        <w:rPr>
          <w:sz w:val="24"/>
          <w:szCs w:val="24"/>
        </w:rPr>
        <w:t>4/2</w:t>
      </w:r>
      <w:r>
        <w:rPr>
          <w:rFonts w:hint="eastAsia"/>
          <w:sz w:val="24"/>
          <w:szCs w:val="24"/>
        </w:rPr>
        <w:t>卷：东南部（克尔曼、波斯俾路支斯坦）。</w:t>
      </w:r>
    </w:p>
    <w:p w14:paraId="3682D052">
      <w:pPr>
        <w:spacing w:before="120" w:after="120" w:line="360" w:lineRule="auto"/>
        <w:ind w:firstLine="420"/>
        <w:rPr>
          <w:b/>
          <w:bCs/>
          <w:sz w:val="24"/>
          <w:szCs w:val="24"/>
        </w:rPr>
      </w:pPr>
      <w:r>
        <w:rPr>
          <w:rFonts w:hint="eastAsia"/>
          <w:b/>
          <w:bCs/>
          <w:sz w:val="24"/>
          <w:szCs w:val="24"/>
        </w:rPr>
        <w:t>秘密、机密或仅供官方使用</w:t>
      </w:r>
    </w:p>
    <w:p w14:paraId="537EBBDF">
      <w:pPr>
        <w:spacing w:before="120" w:after="120" w:line="360" w:lineRule="auto"/>
        <w:ind w:firstLine="420"/>
        <w:rPr>
          <w:sz w:val="24"/>
          <w:szCs w:val="24"/>
        </w:rPr>
      </w:pPr>
      <w:r>
        <w:rPr>
          <w:rFonts w:hint="eastAsia"/>
          <w:sz w:val="24"/>
          <w:szCs w:val="24"/>
        </w:rPr>
        <w:t>所有文件都被列为</w:t>
      </w:r>
      <w:r>
        <w:rPr>
          <w:rFonts w:hint="eastAsia" w:ascii="Calibri" w:hAnsi="Calibri" w:eastAsia="宋体" w:cs="Calibri"/>
          <w:sz w:val="24"/>
          <w:szCs w:val="24"/>
        </w:rPr>
        <w:t>“</w:t>
      </w:r>
      <w:r>
        <w:rPr>
          <w:rFonts w:hint="eastAsia"/>
          <w:sz w:val="24"/>
          <w:szCs w:val="24"/>
        </w:rPr>
        <w:t>秘密</w:t>
      </w:r>
      <w:r>
        <w:rPr>
          <w:rFonts w:hint="eastAsia" w:ascii="Calibri" w:hAnsi="Calibri" w:eastAsia="宋体" w:cs="Calibri"/>
          <w:sz w:val="24"/>
          <w:szCs w:val="24"/>
        </w:rPr>
        <w:t>”</w:t>
      </w:r>
      <w:r>
        <w:rPr>
          <w:rFonts w:hint="eastAsia"/>
          <w:sz w:val="24"/>
          <w:szCs w:val="24"/>
        </w:rPr>
        <w:t>、</w:t>
      </w:r>
      <w:r>
        <w:rPr>
          <w:rFonts w:hint="eastAsia" w:ascii="Calibri" w:hAnsi="Calibri" w:eastAsia="宋体" w:cs="Calibri"/>
          <w:sz w:val="24"/>
          <w:szCs w:val="24"/>
        </w:rPr>
        <w:t>“</w:t>
      </w:r>
      <w:r>
        <w:rPr>
          <w:rFonts w:hint="eastAsia"/>
          <w:sz w:val="24"/>
          <w:szCs w:val="24"/>
        </w:rPr>
        <w:t>机密</w:t>
      </w:r>
      <w:r>
        <w:rPr>
          <w:rFonts w:hint="eastAsia" w:ascii="Calibri" w:hAnsi="Calibri" w:eastAsia="宋体" w:cs="Calibri"/>
          <w:sz w:val="24"/>
          <w:szCs w:val="24"/>
        </w:rPr>
        <w:t>”</w:t>
      </w:r>
      <w:r>
        <w:rPr>
          <w:rFonts w:hint="eastAsia"/>
          <w:sz w:val="24"/>
          <w:szCs w:val="24"/>
        </w:rPr>
        <w:t>或</w:t>
      </w:r>
      <w:r>
        <w:rPr>
          <w:rFonts w:hint="eastAsia" w:ascii="Calibri" w:hAnsi="Calibri" w:eastAsia="宋体" w:cs="Calibri"/>
          <w:sz w:val="24"/>
          <w:szCs w:val="24"/>
        </w:rPr>
        <w:t>“</w:t>
      </w:r>
      <w:r>
        <w:rPr>
          <w:rFonts w:hint="eastAsia"/>
          <w:sz w:val="24"/>
          <w:szCs w:val="24"/>
        </w:rPr>
        <w:t>仅供官方使用</w:t>
      </w:r>
      <w:r>
        <w:rPr>
          <w:rFonts w:hint="eastAsia" w:ascii="Calibri" w:hAnsi="Calibri" w:eastAsia="宋体" w:cs="Calibri"/>
          <w:sz w:val="24"/>
          <w:szCs w:val="24"/>
        </w:rPr>
        <w:t>”</w:t>
      </w:r>
      <w:r>
        <w:rPr>
          <w:rFonts w:hint="eastAsia"/>
          <w:sz w:val="24"/>
          <w:szCs w:val="24"/>
        </w:rPr>
        <w:t>，并受到严格的保管规定约束。此外，还规定当某一文件出现新版本时，必须销毁所有以前的版本。因此，这些文件存世量极少。大英图书馆印度办公室记录中的藏品在广度和可访问性方面都是独一无二的。</w:t>
      </w:r>
    </w:p>
    <w:p w14:paraId="3FFA2AEF">
      <w:pPr>
        <w:spacing w:before="120" w:after="120" w:line="360" w:lineRule="auto"/>
        <w:ind w:firstLine="420"/>
        <w:rPr>
          <w:b/>
          <w:bCs/>
          <w:sz w:val="24"/>
          <w:szCs w:val="24"/>
        </w:rPr>
      </w:pPr>
      <w:r>
        <w:rPr>
          <w:rFonts w:hint="eastAsia"/>
          <w:b/>
          <w:bCs/>
          <w:sz w:val="24"/>
          <w:szCs w:val="24"/>
        </w:rPr>
        <w:t>出处和历史背景</w:t>
      </w:r>
    </w:p>
    <w:p w14:paraId="7B4DF341">
      <w:pPr>
        <w:spacing w:before="120" w:after="120" w:line="360" w:lineRule="auto"/>
        <w:ind w:firstLine="420"/>
        <w:rPr>
          <w:sz w:val="24"/>
          <w:szCs w:val="24"/>
        </w:rPr>
      </w:pPr>
      <w:r>
        <w:rPr>
          <w:rFonts w:hint="eastAsia"/>
          <w:sz w:val="24"/>
          <w:szCs w:val="24"/>
        </w:rPr>
        <w:t>外交使团编写的政治报告、日记和摘要（包括武官材料）由印度办事处的政治和秘密部登记处接收，并在其年度档案序列中给予参考编号。</w:t>
      </w:r>
      <w:r>
        <w:rPr>
          <w:rFonts w:ascii="Calibri" w:hAnsi="Calibri" w:eastAsia="宋体" w:cs="Calibri"/>
          <w:sz w:val="24"/>
          <w:szCs w:val="24"/>
        </w:rPr>
        <w:t>1931</w:t>
      </w:r>
      <w:r>
        <w:rPr>
          <w:rFonts w:hint="eastAsia"/>
          <w:sz w:val="24"/>
          <w:szCs w:val="24"/>
        </w:rPr>
        <w:t>年前，它们被归入</w:t>
      </w:r>
      <w:r>
        <w:rPr>
          <w:rFonts w:hint="eastAsia" w:ascii="Calibri" w:hAnsi="Calibri" w:eastAsia="宋体" w:cs="Calibri"/>
          <w:sz w:val="24"/>
          <w:szCs w:val="24"/>
        </w:rPr>
        <w:t>“</w:t>
      </w:r>
      <w:r>
        <w:rPr>
          <w:rFonts w:hint="eastAsia"/>
          <w:sz w:val="24"/>
          <w:szCs w:val="24"/>
        </w:rPr>
        <w:t>主题</w:t>
      </w:r>
      <w:r>
        <w:rPr>
          <w:rFonts w:hint="eastAsia" w:ascii="Calibri" w:hAnsi="Calibri" w:eastAsia="宋体" w:cs="Calibri"/>
          <w:sz w:val="24"/>
          <w:szCs w:val="24"/>
        </w:rPr>
        <w:t>”（subject）</w:t>
      </w:r>
      <w:r>
        <w:rPr>
          <w:rFonts w:hint="eastAsia"/>
          <w:sz w:val="24"/>
          <w:szCs w:val="24"/>
        </w:rPr>
        <w:t>文件编目（</w:t>
      </w:r>
      <w:r>
        <w:rPr>
          <w:rFonts w:ascii="Calibri" w:hAnsi="Calibri" w:eastAsia="宋体" w:cs="Calibri"/>
          <w:sz w:val="24"/>
          <w:szCs w:val="24"/>
        </w:rPr>
        <w:t>L/P&amp;S/10</w:t>
      </w:r>
      <w:r>
        <w:rPr>
          <w:rFonts w:hint="eastAsia"/>
          <w:sz w:val="24"/>
          <w:szCs w:val="24"/>
        </w:rPr>
        <w:t>），</w:t>
      </w:r>
      <w:r>
        <w:rPr>
          <w:rFonts w:ascii="Calibri" w:hAnsi="Calibri" w:eastAsia="宋体" w:cs="Calibri"/>
          <w:sz w:val="24"/>
          <w:szCs w:val="24"/>
        </w:rPr>
        <w:t>1931</w:t>
      </w:r>
      <w:r>
        <w:rPr>
          <w:rFonts w:hint="eastAsia"/>
          <w:sz w:val="24"/>
          <w:szCs w:val="24"/>
        </w:rPr>
        <w:t>年后，它们被归入</w:t>
      </w:r>
      <w:r>
        <w:rPr>
          <w:rFonts w:hint="eastAsia" w:ascii="Calibri" w:hAnsi="Calibri" w:eastAsia="宋体" w:cs="Calibri"/>
          <w:sz w:val="24"/>
          <w:szCs w:val="24"/>
        </w:rPr>
        <w:t>“</w:t>
      </w:r>
      <w:r>
        <w:rPr>
          <w:rFonts w:hint="eastAsia"/>
          <w:sz w:val="24"/>
          <w:szCs w:val="24"/>
        </w:rPr>
        <w:t>档案集</w:t>
      </w:r>
      <w:r>
        <w:rPr>
          <w:rFonts w:ascii="Calibri" w:hAnsi="Calibri" w:eastAsia="宋体" w:cs="Calibri"/>
          <w:sz w:val="24"/>
          <w:szCs w:val="24"/>
        </w:rPr>
        <w:t>28</w:t>
      </w:r>
      <w:r>
        <w:rPr>
          <w:rFonts w:hint="eastAsia" w:ascii="Calibri" w:hAnsi="Calibri" w:eastAsia="宋体" w:cs="Calibri"/>
          <w:sz w:val="24"/>
          <w:szCs w:val="24"/>
        </w:rPr>
        <w:t>号</w:t>
      </w:r>
      <w:r>
        <w:rPr>
          <w:rFonts w:hint="eastAsia"/>
          <w:sz w:val="24"/>
          <w:szCs w:val="24"/>
        </w:rPr>
        <w:t>波斯</w:t>
      </w:r>
      <w:r>
        <w:rPr>
          <w:rFonts w:hint="eastAsia" w:ascii="Calibri" w:hAnsi="Calibri" w:eastAsia="宋体" w:cs="Calibri"/>
          <w:sz w:val="24"/>
          <w:szCs w:val="24"/>
        </w:rPr>
        <w:t>”</w:t>
      </w:r>
      <w:r>
        <w:rPr>
          <w:rFonts w:hint="eastAsia"/>
          <w:sz w:val="24"/>
          <w:szCs w:val="24"/>
        </w:rPr>
        <w:t>（</w:t>
      </w:r>
      <w:r>
        <w:rPr>
          <w:rFonts w:ascii="Calibri" w:hAnsi="Calibri" w:eastAsia="宋体" w:cs="Calibri"/>
          <w:sz w:val="24"/>
          <w:szCs w:val="24"/>
        </w:rPr>
        <w:t>L/P&amp;S/12</w:t>
      </w:r>
      <w:r>
        <w:rPr>
          <w:rFonts w:hint="eastAsia"/>
          <w:sz w:val="24"/>
          <w:szCs w:val="24"/>
        </w:rPr>
        <w:t>）。总参谋部、印度、秘密和机密作品存放在两个内部</w:t>
      </w:r>
      <w:r>
        <w:rPr>
          <w:rFonts w:hint="eastAsia" w:ascii="Calibri" w:hAnsi="Calibri" w:eastAsia="宋体" w:cs="Calibri"/>
          <w:sz w:val="24"/>
          <w:szCs w:val="24"/>
        </w:rPr>
        <w:t>“</w:t>
      </w:r>
      <w:r>
        <w:rPr>
          <w:rFonts w:hint="eastAsia"/>
          <w:sz w:val="24"/>
          <w:szCs w:val="24"/>
        </w:rPr>
        <w:t>参考图书馆</w:t>
      </w:r>
      <w:r>
        <w:rPr>
          <w:rFonts w:hint="eastAsia" w:ascii="Calibri" w:hAnsi="Calibri" w:eastAsia="宋体" w:cs="Calibri"/>
          <w:sz w:val="24"/>
          <w:szCs w:val="24"/>
        </w:rPr>
        <w:t>”</w:t>
      </w:r>
      <w:r>
        <w:rPr>
          <w:rFonts w:hint="eastAsia"/>
          <w:sz w:val="24"/>
          <w:szCs w:val="24"/>
        </w:rPr>
        <w:t>，分别存放在印度办事处的军事部（</w:t>
      </w:r>
      <w:r>
        <w:rPr>
          <w:rFonts w:ascii="Calibri" w:hAnsi="Calibri" w:eastAsia="宋体" w:cs="Calibri"/>
          <w:sz w:val="24"/>
          <w:szCs w:val="24"/>
        </w:rPr>
        <w:t>L/MIL/17</w:t>
      </w:r>
      <w:r>
        <w:rPr>
          <w:rFonts w:hint="eastAsia"/>
          <w:sz w:val="24"/>
          <w:szCs w:val="24"/>
        </w:rPr>
        <w:t>）和政治保密部（</w:t>
      </w:r>
      <w:r>
        <w:rPr>
          <w:rFonts w:ascii="Calibri" w:hAnsi="Calibri" w:eastAsia="宋体" w:cs="Calibri"/>
          <w:sz w:val="24"/>
          <w:szCs w:val="24"/>
        </w:rPr>
        <w:t>L/P&amp;S/20</w:t>
      </w:r>
      <w:r>
        <w:rPr>
          <w:rFonts w:hint="eastAsia"/>
          <w:sz w:val="24"/>
          <w:szCs w:val="24"/>
        </w:rPr>
        <w:t>）。出版后，这些文件从印度引进，并严格按照原作者设定的保管规则进行妥善保管和处理。</w:t>
      </w:r>
    </w:p>
    <w:p w14:paraId="688AF0D6">
      <w:pPr>
        <w:spacing w:before="120" w:after="120" w:line="360" w:lineRule="auto"/>
        <w:ind w:firstLine="420"/>
        <w:rPr>
          <w:sz w:val="24"/>
          <w:szCs w:val="24"/>
        </w:rPr>
      </w:pPr>
      <w:r>
        <w:rPr>
          <w:rFonts w:ascii="Calibri" w:hAnsi="Calibri" w:eastAsia="宋体" w:cs="Calibri"/>
          <w:sz w:val="24"/>
          <w:szCs w:val="24"/>
        </w:rPr>
        <w:t>1947</w:t>
      </w:r>
      <w:r>
        <w:rPr>
          <w:rFonts w:hint="eastAsia"/>
          <w:sz w:val="24"/>
          <w:szCs w:val="24"/>
        </w:rPr>
        <w:t>年印度独立后，印度办事处的所有部门都归入英联邦关系办公室（后来成为外交和联邦事务部）。</w:t>
      </w:r>
      <w:r>
        <w:rPr>
          <w:rFonts w:ascii="Calibri" w:hAnsi="Calibri" w:eastAsia="宋体" w:cs="Calibri"/>
          <w:sz w:val="24"/>
          <w:szCs w:val="24"/>
        </w:rPr>
        <w:t>1982</w:t>
      </w:r>
      <w:r>
        <w:rPr>
          <w:rFonts w:hint="eastAsia"/>
          <w:sz w:val="24"/>
          <w:szCs w:val="24"/>
        </w:rPr>
        <w:t>年，外交和联邦事务部将印度办事处图书馆和记录的管理权移交给了大英图书馆，现在它是大英图书馆亚洲、太平洋和非洲馆藏（特别是前东方和印度办事处馆藏</w:t>
      </w:r>
      <w:r>
        <w:rPr>
          <w:rFonts w:ascii="Calibri" w:hAnsi="Calibri" w:eastAsia="宋体" w:cs="Calibri"/>
          <w:sz w:val="24"/>
          <w:szCs w:val="24"/>
        </w:rPr>
        <w:t>OIOC</w:t>
      </w:r>
      <w:r>
        <w:rPr>
          <w:rFonts w:hint="eastAsia"/>
          <w:sz w:val="24"/>
          <w:szCs w:val="24"/>
        </w:rPr>
        <w:t>）的一部分。</w:t>
      </w:r>
    </w:p>
    <w:p w14:paraId="65B2304C">
      <w:pPr>
        <w:pStyle w:val="2"/>
        <w:rPr>
          <w:rFonts w:ascii="Georgia" w:hAnsi="Georgia"/>
          <w:color w:val="005329"/>
          <w:spacing w:val="-12"/>
        </w:rPr>
      </w:pPr>
      <w:bookmarkStart w:id="12" w:name="_Toc11620"/>
      <w:r>
        <w:rPr>
          <w:rFonts w:ascii="Georgia" w:hAnsi="Georgia"/>
          <w:color w:val="005329"/>
          <w:spacing w:val="-12"/>
        </w:rPr>
        <w:t>9.</w:t>
      </w:r>
      <w:r>
        <w:rPr>
          <w:rFonts w:hint="eastAsia"/>
        </w:rPr>
        <w:t xml:space="preserve"> 英国关于阿富汗及其边境的情报档案， 1888-1946年</w:t>
      </w:r>
      <w:bookmarkEnd w:id="12"/>
    </w:p>
    <w:p w14:paraId="2E9097C4">
      <w:pPr>
        <w:widowControl/>
        <w:wordWrap w:val="0"/>
        <w:spacing w:line="360" w:lineRule="auto"/>
        <w:ind w:firstLine="480"/>
        <w:textAlignment w:val="baseline"/>
        <w:rPr>
          <w:rFonts w:eastAsia="宋体"/>
          <w:sz w:val="24"/>
          <w:szCs w:val="24"/>
        </w:rPr>
      </w:pPr>
      <w:r>
        <w:rPr>
          <w:rFonts w:ascii="inherit" w:hAnsi="inherit" w:eastAsia="宋体" w:cs="宋体"/>
          <w:b/>
          <w:bCs/>
          <w:color w:val="555555"/>
          <w:kern w:val="0"/>
          <w:sz w:val="24"/>
          <w:szCs w:val="24"/>
        </w:rPr>
        <w:t>数据库网址：</w:t>
      </w:r>
      <w:r>
        <w:rPr>
          <w:rFonts w:eastAsia="宋体"/>
          <w:sz w:val="24"/>
          <w:szCs w:val="24"/>
        </w:rPr>
        <w:fldChar w:fldCharType="begin"/>
      </w:r>
      <w:r>
        <w:rPr>
          <w:rFonts w:eastAsia="宋体"/>
          <w:sz w:val="24"/>
          <w:szCs w:val="24"/>
        </w:rPr>
        <w:instrText xml:space="preserve"> HYPERLINK "https://www.degruyter.com/database/AFGH/html" </w:instrText>
      </w:r>
      <w:r>
        <w:rPr>
          <w:rFonts w:eastAsia="宋体"/>
          <w:sz w:val="24"/>
          <w:szCs w:val="24"/>
        </w:rPr>
        <w:fldChar w:fldCharType="separate"/>
      </w:r>
      <w:r>
        <w:rPr>
          <w:rStyle w:val="11"/>
          <w:rFonts w:eastAsia="宋体"/>
          <w:sz w:val="24"/>
          <w:szCs w:val="24"/>
        </w:rPr>
        <w:t>https://www.degruyter.com/database/AFGH/html</w:t>
      </w:r>
      <w:r>
        <w:rPr>
          <w:rFonts w:eastAsia="宋体"/>
          <w:sz w:val="24"/>
          <w:szCs w:val="24"/>
        </w:rPr>
        <w:fldChar w:fldCharType="end"/>
      </w:r>
    </w:p>
    <w:p w14:paraId="048E205D">
      <w:pPr>
        <w:widowControl/>
        <w:wordWrap w:val="0"/>
        <w:spacing w:line="360" w:lineRule="auto"/>
        <w:ind w:firstLine="480"/>
        <w:textAlignment w:val="baseline"/>
        <w:rPr>
          <w:rFonts w:hint="eastAsia" w:ascii="inherit" w:hAnsi="inherit" w:eastAsia="宋体" w:cs="宋体"/>
          <w:bCs/>
          <w:color w:val="FF0000"/>
          <w:kern w:val="0"/>
          <w:sz w:val="24"/>
          <w:szCs w:val="24"/>
        </w:rPr>
      </w:pPr>
      <w:r>
        <w:rPr>
          <w:rFonts w:ascii="inherit" w:hAnsi="inherit" w:eastAsia="宋体" w:cs="宋体"/>
          <w:b/>
          <w:bCs/>
          <w:color w:val="555555"/>
          <w:kern w:val="0"/>
          <w:sz w:val="24"/>
          <w:szCs w:val="24"/>
        </w:rPr>
        <w:t xml:space="preserve">数据库简介： </w:t>
      </w:r>
    </w:p>
    <w:p w14:paraId="7BC83E1C">
      <w:pPr>
        <w:spacing w:before="120" w:after="120" w:line="360" w:lineRule="auto"/>
        <w:ind w:firstLine="420"/>
        <w:rPr>
          <w:bCs/>
          <w:sz w:val="24"/>
          <w:szCs w:val="24"/>
        </w:rPr>
      </w:pPr>
      <w:r>
        <w:rPr>
          <w:rFonts w:hint="eastAsia"/>
          <w:bCs/>
          <w:sz w:val="24"/>
          <w:szCs w:val="24"/>
        </w:rPr>
        <w:t>从1838-1842年第一次阿富汗战争的干预开始，逾一个世纪以来，英属印度西北边疆的防御以及阿富汗在面对俄国真实或潜在威胁时的战略地位，一直是英属印度政治和军事战略的核心议题。当时英国的边境线实际上还没有到达阿富汗。战略规划和政策制定需要情报信息——关于地形、通讯、资源、内政、部落集团、竞争关系以及重要人物等方面的情报——这不仅为政治关系提供了背景，也为可能的军事行动提供了实用的操作指南。</w:t>
      </w:r>
    </w:p>
    <w:p w14:paraId="4C03BB72">
      <w:pPr>
        <w:spacing w:before="120" w:after="120" w:line="360" w:lineRule="auto"/>
        <w:ind w:firstLine="420"/>
        <w:rPr>
          <w:bCs/>
          <w:sz w:val="24"/>
          <w:szCs w:val="24"/>
        </w:rPr>
      </w:pPr>
      <w:r>
        <w:rPr>
          <w:rFonts w:hint="eastAsia"/>
          <w:bCs/>
          <w:sz w:val="24"/>
          <w:szCs w:val="24"/>
        </w:rPr>
        <w:t>在1922年之前，除了在1838-1842年和1878-1880年期间在喀布尔的驻地外交尝试遭遇灾难性失败外，印度政府在阿富汗境内并未设有直接的外交或政治代表，而英国政府也未将阿富汗视为需要派遣外交使团的国家。然而，从1882年到1919年间，陆续有印度穆斯林代理人被派往喀布尔。在1919至1921年第三次阿富汗战争结束后，两国终于建立了全面的外交关系。直至1949年，英国驻喀布尔的公使一直是印度政治事务处的成员，尽管他们是由伦敦的外交部任命的。</w:t>
      </w:r>
    </w:p>
    <w:p w14:paraId="463AE73F">
      <w:pPr>
        <w:spacing w:before="120" w:after="120" w:line="360" w:lineRule="auto"/>
        <w:ind w:firstLine="420"/>
        <w:rPr>
          <w:bCs/>
          <w:sz w:val="24"/>
          <w:szCs w:val="24"/>
        </w:rPr>
      </w:pPr>
      <w:r>
        <w:rPr>
          <w:rFonts w:hint="eastAsia"/>
          <w:bCs/>
          <w:sz w:val="24"/>
          <w:szCs w:val="24"/>
        </w:rPr>
        <w:t>早期的情报收集工作既零星又充满风险，往往依赖于情报特工的个人能力，他们常常需要伪装身份，有时甚至需要雇佣当地的新闻记者来协助。直到1878至1880年第二次阿富汗战争爆发，印度政府才开始更加重视整个情报收集的问题。</w:t>
      </w:r>
    </w:p>
    <w:p w14:paraId="5CC625C4">
      <w:pPr>
        <w:spacing w:before="120" w:after="120" w:line="360" w:lineRule="auto"/>
        <w:ind w:firstLine="420"/>
        <w:rPr>
          <w:bCs/>
          <w:sz w:val="24"/>
          <w:szCs w:val="24"/>
        </w:rPr>
      </w:pPr>
      <w:r>
        <w:rPr>
          <w:rFonts w:hint="eastAsia"/>
          <w:bCs/>
          <w:sz w:val="24"/>
          <w:szCs w:val="24"/>
        </w:rPr>
        <w:t>军事情报</w:t>
      </w:r>
    </w:p>
    <w:p w14:paraId="38A3ADCA">
      <w:pPr>
        <w:spacing w:before="120" w:after="120" w:line="360" w:lineRule="auto"/>
        <w:ind w:firstLine="420"/>
        <w:rPr>
          <w:bCs/>
          <w:sz w:val="24"/>
          <w:szCs w:val="24"/>
        </w:rPr>
      </w:pPr>
      <w:r>
        <w:rPr>
          <w:rFonts w:hint="eastAsia"/>
          <w:bCs/>
          <w:sz w:val="24"/>
          <w:szCs w:val="24"/>
        </w:rPr>
        <w:t>1878年，印度陆军总部军需部成立了情报处，由三名军官和两名助理组成。1892年重组后，该处的编制增加到五名军官和四名助理，1903年，主管军官的军衔升至准将，并增加了动员方面的职责。1912-1913年印度军队委员会进行了广泛改革，在总参谋部军事行动局内设立了情报科（M.O.3）。该科由一名总参谋部一级军官领导，向军事行动总监准将报告，下设五个分科，其中四个是地域分科（阿富汗、俄罗斯突厥斯坦和西北边境为N分科），第五分科专门负责“保密性质的特殊工作”。总编制为15名干事和10名办事员。这种编制定期增长的趋势一直持续到1947年英国统治结束。</w:t>
      </w:r>
    </w:p>
    <w:p w14:paraId="7A4EF333">
      <w:pPr>
        <w:spacing w:before="120" w:after="120" w:line="360" w:lineRule="auto"/>
        <w:ind w:firstLine="420"/>
        <w:rPr>
          <w:bCs/>
          <w:sz w:val="24"/>
          <w:szCs w:val="24"/>
        </w:rPr>
      </w:pPr>
      <w:r>
        <w:rPr>
          <w:rFonts w:hint="eastAsia"/>
          <w:bCs/>
          <w:sz w:val="24"/>
          <w:szCs w:val="24"/>
        </w:rPr>
        <w:t>地名录和手册</w:t>
      </w:r>
    </w:p>
    <w:p w14:paraId="41D4DD0B">
      <w:pPr>
        <w:spacing w:before="120" w:after="120" w:line="360" w:lineRule="auto"/>
        <w:ind w:firstLine="420"/>
        <w:rPr>
          <w:bCs/>
          <w:sz w:val="24"/>
          <w:szCs w:val="24"/>
        </w:rPr>
      </w:pPr>
      <w:r>
        <w:rPr>
          <w:rFonts w:hint="eastAsia"/>
          <w:bCs/>
          <w:sz w:val="24"/>
          <w:szCs w:val="24"/>
        </w:rPr>
        <w:t>情报处起初依托于历史导向的地名录和相关背景资料，逐步发展壮大，最终发行了大量实用手册、路线指南、军事报告、部落研究专著、名人录汇编以及事件概要。这些资料的来源主要是在一线工作的军官，尤其是那些驻守在西北边疆的军官，以及他们的联络员和秘密招募的当地部落成员。所有这些文件都被标注为“秘密”、“机密”或“仅限官方使用”，并受到严格的保密规定保护。此外，一旦某部文件更新版本，所有旧版本都会被命令销毁。因此，这些档案文件流传至今的数量极为稀少。</w:t>
      </w:r>
    </w:p>
    <w:p w14:paraId="1E30D008">
      <w:pPr>
        <w:spacing w:before="120" w:after="120" w:line="360" w:lineRule="auto"/>
        <w:ind w:firstLine="420"/>
        <w:rPr>
          <w:bCs/>
          <w:sz w:val="24"/>
          <w:szCs w:val="24"/>
        </w:rPr>
      </w:pPr>
      <w:r>
        <w:rPr>
          <w:rFonts w:hint="eastAsia"/>
          <w:bCs/>
          <w:sz w:val="24"/>
          <w:szCs w:val="24"/>
        </w:rPr>
        <w:t>政治情报</w:t>
      </w:r>
    </w:p>
    <w:p w14:paraId="51A97EFF">
      <w:pPr>
        <w:spacing w:before="120" w:after="120" w:line="360" w:lineRule="auto"/>
        <w:ind w:firstLine="420"/>
        <w:rPr>
          <w:bCs/>
          <w:sz w:val="24"/>
          <w:szCs w:val="24"/>
        </w:rPr>
      </w:pPr>
      <w:r>
        <w:rPr>
          <w:rFonts w:hint="eastAsia"/>
          <w:bCs/>
          <w:sz w:val="24"/>
          <w:szCs w:val="24"/>
        </w:rPr>
        <w:t>印度政府的外交和政治部门同样对情报工作抱有浓厚兴趣，他们主要聚焦于阿富汗的内政外交以及跨境的部落和重要人物。该部门发行了自己的情报汇编，资料主要来源于在西北边境或阿富汗本土工作的政治官员，这些工作经常与军方的情报活动相重叠。</w:t>
      </w:r>
    </w:p>
    <w:p w14:paraId="6E79F066">
      <w:pPr>
        <w:spacing w:before="120" w:after="120" w:line="360" w:lineRule="auto"/>
        <w:ind w:firstLine="420"/>
        <w:rPr>
          <w:bCs/>
          <w:sz w:val="24"/>
          <w:szCs w:val="24"/>
        </w:rPr>
      </w:pPr>
      <w:r>
        <w:rPr>
          <w:rFonts w:hint="eastAsia"/>
          <w:bCs/>
          <w:sz w:val="24"/>
          <w:szCs w:val="24"/>
        </w:rPr>
        <w:t>印刷信函</w:t>
      </w:r>
    </w:p>
    <w:p w14:paraId="57086B3F">
      <w:pPr>
        <w:spacing w:before="120" w:after="120" w:line="360" w:lineRule="auto"/>
        <w:ind w:firstLine="420"/>
        <w:rPr>
          <w:bCs/>
          <w:sz w:val="24"/>
          <w:szCs w:val="24"/>
        </w:rPr>
      </w:pPr>
      <w:r>
        <w:rPr>
          <w:rFonts w:hint="eastAsia"/>
          <w:bCs/>
          <w:sz w:val="24"/>
          <w:szCs w:val="24"/>
        </w:rPr>
        <w:t>特别值得一提的是《外交部印刷来往公文》这一大型系列，共包含73卷，约13,600页。《印刷来往公文》由于在伦敦的档案与情报出版物的主要类别分开存放，成为了一个鲜为人知的资料宝库。该系列档案遵循伦敦外交部的标准做法，复刻了1919年至1941年间所有与阿富汗有关的来往信函和相关文件。从“第三次阿富汗战争1919年通信”开始，标题最终演变为“阿富汗丛书”；尽管页码时常变动，但每卷文件都按照连续编号顺序排列。</w:t>
      </w:r>
    </w:p>
    <w:p w14:paraId="790722D4">
      <w:pPr>
        <w:spacing w:before="120" w:after="120" w:line="360" w:lineRule="auto"/>
        <w:ind w:firstLine="420"/>
        <w:rPr>
          <w:bCs/>
          <w:sz w:val="24"/>
          <w:szCs w:val="24"/>
        </w:rPr>
      </w:pPr>
      <w:r>
        <w:rPr>
          <w:rFonts w:hint="eastAsia"/>
          <w:bCs/>
          <w:sz w:val="24"/>
          <w:szCs w:val="24"/>
        </w:rPr>
        <w:t>出处</w:t>
      </w:r>
    </w:p>
    <w:p w14:paraId="68C6AF93">
      <w:pPr>
        <w:spacing w:before="120" w:after="120" w:line="360" w:lineRule="auto"/>
        <w:ind w:firstLine="420"/>
        <w:rPr>
          <w:bCs/>
          <w:sz w:val="24"/>
          <w:szCs w:val="24"/>
        </w:rPr>
      </w:pPr>
      <w:r>
        <w:rPr>
          <w:rFonts w:hint="eastAsia"/>
          <w:bCs/>
          <w:sz w:val="24"/>
          <w:szCs w:val="24"/>
        </w:rPr>
        <w:t>本系列档案中复制的秘密和机密印刷文件存放于两个内部参考图书馆，分别位于1947年前的伦敦印度办事处军事部（L/MIL/17）和政治与保密部（L/P&amp;S/20）。这些资料是在出版时从印度接收的，并依据原作者制定的严格保管规则进行保管或处理。例外情况包括：（1）外交部印刷信件，这些信件经过政治和秘密部登记，1931年前被归入“主题”文件（L/P&amp;S/10），之后则被归入“主题”档案库（L/P&amp;S/12）；（2）在喀布尔英国公使馆保管的少量物品（R/12），1965年与公使馆档案一同被运至伦敦。1947年印度独立后，伦敦印度办事处的所有部门都并入了英联邦关系办公室（后来的外交和联邦事务部）。1982年，这些图书馆和档案被转移到大英图书馆，现在已成为图书馆东方和印度办事处藏品的一部分。</w:t>
      </w:r>
    </w:p>
    <w:p w14:paraId="6ACD6ACA">
      <w:pPr>
        <w:pStyle w:val="2"/>
        <w:rPr>
          <w:rFonts w:ascii="Georgia" w:hAnsi="Georgia"/>
          <w:color w:val="005329"/>
          <w:spacing w:val="-12"/>
        </w:rPr>
      </w:pPr>
      <w:bookmarkStart w:id="13" w:name="_Toc16914"/>
      <w:r>
        <w:rPr>
          <w:rFonts w:ascii="Georgia" w:hAnsi="Georgia"/>
          <w:color w:val="005329"/>
          <w:spacing w:val="-12"/>
        </w:rPr>
        <w:t>10.</w:t>
      </w:r>
      <w:r>
        <w:rPr>
          <w:rFonts w:hint="eastAsia"/>
        </w:rPr>
        <w:t xml:space="preserve"> 英国关于俄罗斯在中亚地区的情报档案， 1</w:t>
      </w:r>
      <w:r>
        <w:rPr>
          <w:rFonts w:hint="eastAsia"/>
          <w:lang w:val="en-US" w:eastAsia="zh-CN"/>
        </w:rPr>
        <w:t>865</w:t>
      </w:r>
      <w:r>
        <w:rPr>
          <w:rFonts w:hint="eastAsia"/>
        </w:rPr>
        <w:t>-19</w:t>
      </w:r>
      <w:r>
        <w:rPr>
          <w:rFonts w:hint="eastAsia"/>
          <w:lang w:val="en-US" w:eastAsia="zh-CN"/>
        </w:rPr>
        <w:t>49</w:t>
      </w:r>
      <w:r>
        <w:rPr>
          <w:rFonts w:hint="eastAsia"/>
        </w:rPr>
        <w:t>年</w:t>
      </w:r>
      <w:bookmarkEnd w:id="13"/>
    </w:p>
    <w:p w14:paraId="449A0859">
      <w:pPr>
        <w:widowControl/>
        <w:wordWrap w:val="0"/>
        <w:spacing w:line="360" w:lineRule="auto"/>
        <w:ind w:firstLine="480"/>
        <w:textAlignment w:val="baseline"/>
        <w:rPr>
          <w:rFonts w:asciiTheme="minorEastAsia" w:hAnsiTheme="minorEastAsia" w:cstheme="minorEastAsia"/>
          <w:sz w:val="24"/>
          <w:szCs w:val="24"/>
        </w:rPr>
      </w:pPr>
      <w:r>
        <w:rPr>
          <w:rFonts w:ascii="inherit" w:hAnsi="inherit" w:eastAsia="宋体" w:cs="宋体"/>
          <w:b/>
          <w:bCs/>
          <w:color w:val="555555"/>
          <w:kern w:val="0"/>
          <w:sz w:val="24"/>
          <w:szCs w:val="24"/>
        </w:rPr>
        <w:t>数据库网址：</w:t>
      </w:r>
      <w:r>
        <w:rPr>
          <w:rFonts w:asciiTheme="minorEastAsia" w:hAnsiTheme="minorEastAsia" w:cstheme="minorEastAsia"/>
          <w:sz w:val="24"/>
          <w:szCs w:val="24"/>
        </w:rPr>
        <w:fldChar w:fldCharType="begin"/>
      </w:r>
      <w:r>
        <w:rPr>
          <w:rFonts w:asciiTheme="minorEastAsia" w:hAnsiTheme="minorEastAsia" w:cstheme="minorEastAsia"/>
          <w:sz w:val="24"/>
          <w:szCs w:val="24"/>
        </w:rPr>
        <w:instrText xml:space="preserve"> HYPERLINK "</w:instrText>
      </w:r>
      <w:r>
        <w:rPr>
          <w:rFonts w:hint="eastAsia" w:asciiTheme="minorEastAsia" w:hAnsiTheme="minorEastAsia" w:cstheme="minorEastAsia"/>
          <w:sz w:val="24"/>
          <w:szCs w:val="24"/>
        </w:rPr>
        <w:instrText xml:space="preserve">https://www.degruyter.com/database/ASIAO/html</w:instrText>
      </w:r>
      <w:r>
        <w:rPr>
          <w:rFonts w:asciiTheme="minorEastAsia" w:hAnsiTheme="minorEastAsia" w:cstheme="minorEastAsia"/>
          <w:sz w:val="24"/>
          <w:szCs w:val="24"/>
        </w:rPr>
        <w:instrText xml:space="preserve">" </w:instrText>
      </w:r>
      <w:r>
        <w:rPr>
          <w:rFonts w:asciiTheme="minorEastAsia" w:hAnsiTheme="minorEastAsia" w:cstheme="minorEastAsia"/>
          <w:sz w:val="24"/>
          <w:szCs w:val="24"/>
        </w:rPr>
        <w:fldChar w:fldCharType="separate"/>
      </w:r>
      <w:r>
        <w:rPr>
          <w:rStyle w:val="12"/>
          <w:rFonts w:hint="eastAsia" w:asciiTheme="minorEastAsia" w:hAnsiTheme="minorEastAsia" w:cstheme="minorEastAsia"/>
          <w:sz w:val="24"/>
          <w:szCs w:val="24"/>
        </w:rPr>
        <w:t>https://www.degruyter.com/database/ASIAO/html</w:t>
      </w:r>
      <w:r>
        <w:rPr>
          <w:rFonts w:asciiTheme="minorEastAsia" w:hAnsiTheme="minorEastAsia" w:cstheme="minorEastAsia"/>
          <w:sz w:val="24"/>
          <w:szCs w:val="24"/>
        </w:rPr>
        <w:fldChar w:fldCharType="end"/>
      </w:r>
    </w:p>
    <w:p w14:paraId="7F8825D1">
      <w:pPr>
        <w:widowControl/>
        <w:wordWrap w:val="0"/>
        <w:spacing w:line="360" w:lineRule="auto"/>
        <w:ind w:firstLine="480"/>
        <w:textAlignment w:val="baseline"/>
        <w:rPr>
          <w:rFonts w:hint="eastAsia" w:ascii="inherit" w:hAnsi="inherit" w:eastAsia="宋体" w:cs="宋体"/>
          <w:bCs/>
          <w:color w:val="FF0000"/>
          <w:kern w:val="0"/>
          <w:sz w:val="24"/>
          <w:szCs w:val="24"/>
        </w:rPr>
      </w:pPr>
      <w:r>
        <w:rPr>
          <w:rFonts w:ascii="inherit" w:hAnsi="inherit" w:eastAsia="宋体" w:cs="宋体"/>
          <w:b/>
          <w:bCs/>
          <w:color w:val="555555"/>
          <w:kern w:val="0"/>
          <w:sz w:val="24"/>
          <w:szCs w:val="24"/>
        </w:rPr>
        <w:t xml:space="preserve">数据库简介： </w:t>
      </w:r>
    </w:p>
    <w:p w14:paraId="23E4C529">
      <w:pPr>
        <w:spacing w:before="120" w:after="120" w:line="360" w:lineRule="auto"/>
        <w:ind w:firstLine="420"/>
        <w:rPr>
          <w:bCs/>
          <w:sz w:val="24"/>
          <w:szCs w:val="24"/>
        </w:rPr>
      </w:pPr>
      <w:r>
        <w:rPr>
          <w:bCs/>
          <w:sz w:val="24"/>
          <w:szCs w:val="24"/>
        </w:rPr>
        <w:t>中亚是帝国和意识形态冲突中争议最严重的地区之一，尤其是在19世纪末和20世纪上半叶。</w:t>
      </w:r>
      <w:r>
        <w:rPr>
          <w:rFonts w:hint="eastAsia"/>
          <w:bCs/>
          <w:sz w:val="24"/>
          <w:szCs w:val="24"/>
        </w:rPr>
        <w:t>本在</w:t>
      </w:r>
      <w:r>
        <w:rPr>
          <w:bCs/>
          <w:sz w:val="24"/>
          <w:szCs w:val="24"/>
        </w:rPr>
        <w:t>线原始</w:t>
      </w:r>
      <w:r>
        <w:rPr>
          <w:rFonts w:hint="eastAsia"/>
          <w:bCs/>
          <w:sz w:val="24"/>
          <w:szCs w:val="24"/>
        </w:rPr>
        <w:t>档案库收录了</w:t>
      </w:r>
      <w:r>
        <w:rPr>
          <w:bCs/>
          <w:sz w:val="24"/>
          <w:szCs w:val="24"/>
        </w:rPr>
        <w:t>英属印度办公室收集的有关该地区政治、经济、战略和社会历史的情报。</w:t>
      </w:r>
      <w:r>
        <w:rPr>
          <w:rFonts w:hint="eastAsia"/>
          <w:bCs/>
          <w:sz w:val="24"/>
          <w:szCs w:val="24"/>
        </w:rPr>
        <w:t>这些文件和档案都被列为“秘密”、“机密”或“仅供官方使用”，时间跨度涵盖</w:t>
      </w:r>
      <w:r>
        <w:rPr>
          <w:bCs/>
          <w:sz w:val="24"/>
          <w:szCs w:val="24"/>
        </w:rPr>
        <w:t>1865年至1949年期间。</w:t>
      </w:r>
    </w:p>
    <w:p w14:paraId="1A6C6900">
      <w:pPr>
        <w:spacing w:before="120" w:after="120" w:line="360" w:lineRule="auto"/>
        <w:ind w:firstLine="420"/>
        <w:rPr>
          <w:bCs/>
          <w:sz w:val="24"/>
          <w:szCs w:val="24"/>
        </w:rPr>
      </w:pPr>
      <w:r>
        <w:rPr>
          <w:rFonts w:hint="eastAsia"/>
          <w:bCs/>
          <w:sz w:val="24"/>
          <w:szCs w:val="24"/>
        </w:rPr>
        <w:t>随着人们对前苏联中亚共和国的经济资源、地缘政治地位及丰富历史越来越感兴趣，中亚五国——哈萨克斯坦、乌兹别克斯坦、吉尔吉斯斯坦、塔吉克斯坦和土库曼斯坦，这片横跨里海至中国西部边界的广袤地区，已成为全球瞩目的焦点。印度办公室政治和机密部的档案是该地区的重要信息宝库，如今首次全面在线开放。这些档案资料不仅包含了机密情报、地图、备忘录和手册，还涵盖了更广泛国际关系背景下的政策文件，提供了关于地方及区域政治管理、社会动态和经济基础设施的丰富细节。此外，印度办公室军事部的印刷资料也为这一档案库增添了更多宝贵资料。</w:t>
      </w:r>
    </w:p>
    <w:p w14:paraId="4C04D3D4">
      <w:pPr>
        <w:spacing w:before="120" w:after="120" w:line="360" w:lineRule="auto"/>
        <w:ind w:firstLine="420"/>
        <w:rPr>
          <w:bCs/>
          <w:sz w:val="24"/>
          <w:szCs w:val="24"/>
        </w:rPr>
      </w:pPr>
      <w:r>
        <w:rPr>
          <w:rFonts w:hint="eastAsia"/>
          <w:bCs/>
          <w:sz w:val="24"/>
          <w:szCs w:val="24"/>
        </w:rPr>
        <w:t>“</w:t>
      </w:r>
      <w:r>
        <w:rPr>
          <w:bCs/>
          <w:sz w:val="24"/>
          <w:szCs w:val="24"/>
        </w:rPr>
        <w:t>伟大的游戏</w:t>
      </w:r>
      <w:r>
        <w:rPr>
          <w:rFonts w:hint="eastAsia"/>
          <w:bCs/>
          <w:sz w:val="24"/>
          <w:szCs w:val="24"/>
        </w:rPr>
        <w:t>”</w:t>
      </w:r>
    </w:p>
    <w:p w14:paraId="703F5A02">
      <w:pPr>
        <w:spacing w:before="120" w:after="120" w:line="360" w:lineRule="auto"/>
        <w:ind w:firstLine="420"/>
        <w:rPr>
          <w:bCs/>
          <w:sz w:val="24"/>
          <w:szCs w:val="24"/>
        </w:rPr>
      </w:pPr>
      <w:r>
        <w:rPr>
          <w:rFonts w:hint="eastAsia"/>
          <w:bCs/>
          <w:sz w:val="24"/>
          <w:szCs w:val="24"/>
        </w:rPr>
        <w:t>在19世纪时，中亚是连接欧洲和亚洲的战争与贸易的交汇点。对于印度的英国殖民统治者来说，中亚尤其具有吸引力，他们参与了“大博弈”——争夺英俄两大帝国之间的缓冲地带的权力和影响力的竞争。</w:t>
      </w:r>
    </w:p>
    <w:p w14:paraId="496CF171">
      <w:pPr>
        <w:spacing w:before="120" w:after="120" w:line="360" w:lineRule="auto"/>
        <w:ind w:firstLine="420"/>
        <w:rPr>
          <w:bCs/>
          <w:sz w:val="24"/>
          <w:szCs w:val="24"/>
        </w:rPr>
      </w:pPr>
      <w:r>
        <w:rPr>
          <w:rFonts w:hint="eastAsia"/>
          <w:bCs/>
          <w:sz w:val="24"/>
          <w:szCs w:val="24"/>
        </w:rPr>
        <w:t>英国与中亚汗国的政治互动和利益关系主要由设在伦敦的印度办事处政治部和设在加尔各答的印度政府政治部指导，以及后来由设在德里的印度政府政治部来指导。第二次世界大战之前，英国对中亚地区的政策主要由印度办事处和外交部共同制定。从1878年起，军事情报工作便由印度军区总参谋部情报处负责，后来则由总参谋部军事行动的情报处提供。地名词典、路线手册、人物报告和政治评估等档案由军事部门和政治部门共同准备，均基于现场政治官员和军事官员、旅行者和秘密特工提供的原始资料，并且仅供官方使用，通常被标记为“机密”保存在印度办事处的相关部门图书馆中。</w:t>
      </w:r>
    </w:p>
    <w:p w14:paraId="7377597C">
      <w:pPr>
        <w:spacing w:before="120" w:after="120" w:line="360" w:lineRule="auto"/>
        <w:ind w:firstLine="420"/>
        <w:rPr>
          <w:bCs/>
          <w:sz w:val="24"/>
          <w:szCs w:val="24"/>
        </w:rPr>
      </w:pPr>
      <w:r>
        <w:rPr>
          <w:rFonts w:hint="eastAsia"/>
          <w:bCs/>
          <w:sz w:val="24"/>
          <w:szCs w:val="24"/>
        </w:rPr>
        <w:t>米歇尔的俄文摘要</w:t>
      </w:r>
    </w:p>
    <w:p w14:paraId="44B0D74B">
      <w:pPr>
        <w:spacing w:before="120" w:after="120" w:line="360" w:lineRule="auto"/>
        <w:ind w:firstLine="420"/>
        <w:rPr>
          <w:bCs/>
          <w:sz w:val="24"/>
          <w:szCs w:val="24"/>
        </w:rPr>
      </w:pPr>
      <w:r>
        <w:rPr>
          <w:rFonts w:hint="eastAsia"/>
          <w:bCs/>
          <w:sz w:val="24"/>
          <w:szCs w:val="24"/>
        </w:rPr>
        <w:t>19世纪70年代和80年代，印度办事处政治和机密部认为俄罗斯和中亚问题非常重要，因此雇用了一名翻译罗伯特-米歇尔（RobertMichell），其任务是审阅和翻译俄文印刷报告以及俄文报纸和其他出版物的摘录。定期监测的报纸和刊物包括《莫斯科公报》、《土耳其斯坦公报》、《圣彼得堡日报》、《俄国无用报》、《圣彼得堡公报》、《戈洛斯报》、《突厥斯坦公报》和《新弗里米亚报》。</w:t>
      </w:r>
    </w:p>
    <w:p w14:paraId="4F402BCA">
      <w:pPr>
        <w:spacing w:before="120" w:after="120" w:line="360" w:lineRule="auto"/>
        <w:ind w:firstLine="420"/>
        <w:rPr>
          <w:bCs/>
          <w:sz w:val="24"/>
          <w:szCs w:val="24"/>
        </w:rPr>
      </w:pPr>
      <w:r>
        <w:rPr>
          <w:rFonts w:hint="eastAsia"/>
          <w:bCs/>
          <w:sz w:val="24"/>
          <w:szCs w:val="24"/>
        </w:rPr>
        <w:t>政治和秘密备忘录</w:t>
      </w:r>
    </w:p>
    <w:p w14:paraId="6BDCD286">
      <w:pPr>
        <w:spacing w:before="120" w:after="120" w:line="360" w:lineRule="auto"/>
        <w:ind w:firstLine="420"/>
        <w:rPr>
          <w:bCs/>
          <w:sz w:val="24"/>
          <w:szCs w:val="24"/>
        </w:rPr>
      </w:pPr>
      <w:r>
        <w:rPr>
          <w:rFonts w:hint="eastAsia"/>
          <w:bCs/>
          <w:sz w:val="24"/>
          <w:szCs w:val="24"/>
        </w:rPr>
        <w:t>随着情报资料的不断积累，印度办事处政治和机密部开始制作备忘录，以便为部长们提供简洁明了、便于消化的信息摘要，帮助他们制定政策。对于印度和伦敦的官员而言，处理前线传来的海量信息，并为新上任的政府及其部长们准备背景资料，几乎成了一项全职工作。这些备忘录由当时的印度办事处官员按照字母数字顺序进行编排和编号，反映了不同的地理主题领域。其中，与中西亚相关的备忘录，尤其是那些涉及俄罗斯在该地区意图的重大政治辩论和猜测，通常被归入“C”系列。</w:t>
      </w:r>
    </w:p>
    <w:p w14:paraId="11855F56">
      <w:pPr>
        <w:spacing w:before="120" w:after="120" w:line="360" w:lineRule="auto"/>
        <w:ind w:firstLine="420"/>
        <w:rPr>
          <w:bCs/>
          <w:sz w:val="24"/>
          <w:szCs w:val="24"/>
        </w:rPr>
      </w:pPr>
      <w:r>
        <w:rPr>
          <w:rFonts w:hint="eastAsia"/>
          <w:bCs/>
          <w:sz w:val="24"/>
          <w:szCs w:val="24"/>
        </w:rPr>
        <w:t>苏联中亚政治和秘密档案</w:t>
      </w:r>
    </w:p>
    <w:p w14:paraId="44A71513">
      <w:pPr>
        <w:spacing w:before="120" w:after="120" w:line="360" w:lineRule="auto"/>
        <w:ind w:firstLine="420"/>
        <w:rPr>
          <w:bCs/>
          <w:sz w:val="24"/>
          <w:szCs w:val="24"/>
        </w:rPr>
      </w:pPr>
      <w:r>
        <w:rPr>
          <w:rFonts w:hint="eastAsia"/>
          <w:bCs/>
          <w:sz w:val="24"/>
          <w:szCs w:val="24"/>
        </w:rPr>
        <w:t>虽然英俄竞争在1907年公约的签订而正式结束，但俄国在中亚的崛起仍然引起了英帝国政府的兴趣。第一次世界大战和俄国革命后，两个大国再次形成分庭抗礼之势。随着苏维埃社会主义共和国在两次世界大战之间的建立，印度的英国统治者越来越担心共产主义和民族主义的代理人和思想会渗透到印度政治格局中。在此期间，新一代的英国军事和政治情报官员、间谍和冒险家勇敢地进入中亚各共和国甚至是新疆地区，甚至是以非正式方式开展活动。1893年，英国在喀什派驻了一名印度特工，1911年，该职位升为总领事馆。喀什成为情报监听站和定期情报简报、政治日记和贸易报告的来源地。</w:t>
      </w:r>
    </w:p>
    <w:p w14:paraId="58E04188">
      <w:pPr>
        <w:spacing w:before="120" w:after="120" w:line="360" w:lineRule="auto"/>
        <w:ind w:firstLine="420"/>
        <w:rPr>
          <w:bCs/>
          <w:sz w:val="24"/>
          <w:szCs w:val="24"/>
        </w:rPr>
      </w:pPr>
      <w:r>
        <w:rPr>
          <w:rFonts w:hint="eastAsia"/>
          <w:bCs/>
          <w:sz w:val="24"/>
          <w:szCs w:val="24"/>
        </w:rPr>
        <w:t>出处和档案背景</w:t>
      </w:r>
    </w:p>
    <w:p w14:paraId="2E3EF11F">
      <w:pPr>
        <w:spacing w:before="120" w:after="120" w:line="360" w:lineRule="auto"/>
        <w:ind w:firstLine="420"/>
        <w:rPr>
          <w:bCs/>
          <w:sz w:val="24"/>
          <w:szCs w:val="24"/>
        </w:rPr>
      </w:pPr>
      <w:r>
        <w:rPr>
          <w:rFonts w:hint="eastAsia"/>
          <w:bCs/>
          <w:sz w:val="24"/>
          <w:szCs w:val="24"/>
        </w:rPr>
        <w:t>印度办事处政治和机密部（和军事部）的档案是东方和印度办事处藏品（OIOC）的一部分，现属于大英图书馆的亚洲、太平洋和非洲藏品部分。政治和保密部的文件和印刷材料现已编入O1OC的L/PS号索引中，军事部文件归入L/MIL索引。</w:t>
      </w:r>
    </w:p>
    <w:p w14:paraId="3FB50F9F">
      <w:pPr>
        <w:spacing w:before="120" w:after="120" w:line="360" w:lineRule="auto"/>
        <w:ind w:firstLine="420"/>
        <w:rPr>
          <w:bCs/>
          <w:sz w:val="24"/>
          <w:szCs w:val="24"/>
        </w:rPr>
      </w:pPr>
      <w:r>
        <w:rPr>
          <w:rFonts w:hint="eastAsia"/>
          <w:bCs/>
          <w:sz w:val="24"/>
          <w:szCs w:val="24"/>
        </w:rPr>
        <w:t>这批藏品中的许多印刷品都来自部门参考图书馆，现归入L/P&amp;S/20和L/MIL/17。这些档案还包括《米歇尔的俄文摘要》系列和一套分发给印度办公室的外交部门印刷中亚信函。政治和秘密部备忘录的编号为L/P&amp;S/18。自1902年起，政治和秘密部在伦敦收藏的最重要的信件和文件都被登记、编入索引并按主题单独装订成册。较少的档案集则按年度装订成册。1930年前的主题档案被归入L/P&amp;S/10，与之平行的年度卷宗系列被归入L/P&amp;S/11号索引。大约在1930/1931年，该部门用按地理区域排列的新“文集”系列取代了主题档案系统。现在，这些资料可在L/P&amp;S/12索引下找到。该系列中的材料主要来自第10号和12号（中亚”和“中国突厥斯坦”)，另外还有一些来自第32号（“俄罗斯”）和第46号（“路线”）的相关材料。</w:t>
      </w:r>
    </w:p>
    <w:p w14:paraId="20252D0B">
      <w:pPr>
        <w:spacing w:before="120" w:after="120" w:line="360" w:lineRule="auto"/>
        <w:ind w:firstLine="420"/>
        <w:rPr>
          <w:bCs/>
          <w:sz w:val="24"/>
          <w:szCs w:val="24"/>
        </w:rPr>
      </w:pPr>
      <w:r>
        <w:rPr>
          <w:rFonts w:hint="eastAsia"/>
          <w:bCs/>
          <w:sz w:val="24"/>
          <w:szCs w:val="24"/>
        </w:rPr>
        <w:t>佩内洛普·图森</w:t>
      </w:r>
    </w:p>
    <w:p w14:paraId="781723E9">
      <w:pPr>
        <w:spacing w:before="120" w:after="120" w:line="360" w:lineRule="auto"/>
        <w:ind w:firstLine="420"/>
        <w:rPr>
          <w:bCs/>
          <w:sz w:val="24"/>
          <w:szCs w:val="24"/>
        </w:rPr>
      </w:pPr>
      <w:r>
        <w:rPr>
          <w:rFonts w:hint="eastAsia"/>
          <w:bCs/>
          <w:sz w:val="24"/>
          <w:szCs w:val="24"/>
        </w:rPr>
        <w:t>大英图书馆东方和印度办事处中东档案馆（现为亚洲、太平洋和非洲档案馆藏的一部分）前馆长。</w:t>
      </w:r>
    </w:p>
    <w:p w14:paraId="2094560D">
      <w:pPr>
        <w:pStyle w:val="2"/>
        <w:rPr>
          <w:rFonts w:ascii="Georgia" w:hAnsi="Georgia"/>
          <w:color w:val="005329"/>
          <w:spacing w:val="-12"/>
        </w:rPr>
      </w:pPr>
      <w:bookmarkStart w:id="14" w:name="_Toc13062"/>
      <w:r>
        <w:rPr>
          <w:rFonts w:ascii="Georgia" w:hAnsi="Georgia"/>
          <w:color w:val="005329"/>
          <w:spacing w:val="-12"/>
        </w:rPr>
        <w:t>11.</w:t>
      </w:r>
      <w:r>
        <w:t xml:space="preserve"> </w:t>
      </w:r>
      <w:r>
        <w:rPr>
          <w:rFonts w:hint="eastAsia"/>
        </w:rPr>
        <w:t>英国关于暹罗（泰国）和东南亚大陆的情报， 1887-1948年</w:t>
      </w:r>
      <w:bookmarkEnd w:id="14"/>
    </w:p>
    <w:p w14:paraId="5A1ACAE0">
      <w:pPr>
        <w:widowControl/>
        <w:wordWrap w:val="0"/>
        <w:spacing w:line="360" w:lineRule="auto"/>
        <w:ind w:firstLine="480"/>
        <w:textAlignment w:val="baseline"/>
        <w:rPr>
          <w:rFonts w:eastAsia="宋体"/>
          <w:sz w:val="24"/>
          <w:szCs w:val="24"/>
        </w:rPr>
      </w:pPr>
      <w:r>
        <w:rPr>
          <w:rFonts w:ascii="inherit" w:hAnsi="inherit" w:eastAsia="宋体" w:cs="宋体"/>
          <w:b/>
          <w:bCs/>
          <w:color w:val="555555"/>
          <w:kern w:val="0"/>
          <w:sz w:val="24"/>
          <w:szCs w:val="24"/>
        </w:rPr>
        <w:t>数据库网址：</w:t>
      </w:r>
      <w:r>
        <w:rPr>
          <w:rFonts w:eastAsia="宋体"/>
          <w:sz w:val="24"/>
          <w:szCs w:val="24"/>
        </w:rPr>
        <w:fldChar w:fldCharType="begin"/>
      </w:r>
      <w:r>
        <w:rPr>
          <w:rFonts w:eastAsia="宋体"/>
          <w:sz w:val="24"/>
          <w:szCs w:val="24"/>
        </w:rPr>
        <w:instrText xml:space="preserve"> HYPERLINK "https://www.degruyter.com/database/THAI/html" </w:instrText>
      </w:r>
      <w:r>
        <w:rPr>
          <w:rFonts w:eastAsia="宋体"/>
          <w:sz w:val="24"/>
          <w:szCs w:val="24"/>
        </w:rPr>
        <w:fldChar w:fldCharType="separate"/>
      </w:r>
      <w:r>
        <w:rPr>
          <w:rStyle w:val="12"/>
          <w:rFonts w:eastAsia="宋体"/>
          <w:sz w:val="24"/>
          <w:szCs w:val="24"/>
        </w:rPr>
        <w:t>https://www.degruyter.com/database/THAI/html</w:t>
      </w:r>
      <w:r>
        <w:rPr>
          <w:rFonts w:eastAsia="宋体"/>
          <w:sz w:val="24"/>
          <w:szCs w:val="24"/>
        </w:rPr>
        <w:fldChar w:fldCharType="end"/>
      </w:r>
    </w:p>
    <w:p w14:paraId="40D06FEE">
      <w:pPr>
        <w:widowControl/>
        <w:wordWrap w:val="0"/>
        <w:spacing w:line="360" w:lineRule="auto"/>
        <w:ind w:firstLine="480"/>
        <w:textAlignment w:val="baseline"/>
        <w:rPr>
          <w:rFonts w:hint="eastAsia" w:ascii="inherit" w:hAnsi="inherit" w:eastAsia="宋体" w:cs="宋体"/>
          <w:bCs/>
          <w:color w:val="FF0000"/>
          <w:kern w:val="0"/>
          <w:sz w:val="24"/>
          <w:szCs w:val="24"/>
        </w:rPr>
      </w:pPr>
      <w:r>
        <w:rPr>
          <w:rFonts w:ascii="inherit" w:hAnsi="inherit" w:eastAsia="宋体" w:cs="宋体"/>
          <w:b/>
          <w:bCs/>
          <w:color w:val="555555"/>
          <w:kern w:val="0"/>
          <w:sz w:val="24"/>
          <w:szCs w:val="24"/>
        </w:rPr>
        <w:t xml:space="preserve">数据库简介： </w:t>
      </w:r>
    </w:p>
    <w:p w14:paraId="40AD37DE">
      <w:pPr>
        <w:spacing w:before="120" w:after="120" w:line="360" w:lineRule="auto"/>
        <w:ind w:firstLine="420"/>
        <w:rPr>
          <w:bCs/>
          <w:sz w:val="24"/>
          <w:szCs w:val="24"/>
        </w:rPr>
      </w:pPr>
      <w:r>
        <w:rPr>
          <w:rFonts w:hint="eastAsia"/>
          <w:bCs/>
          <w:sz w:val="24"/>
          <w:szCs w:val="24"/>
        </w:rPr>
        <w:t>英属印度在英国与泰国的关系中扮演了至关重要的“前沿”角色，尤其在应对法属印度支那的威胁方面。本在线档案库收录的资料涵盖了英法两国的政策动向，以及他们试图引导当地政治走向“有利”方向的种种尝试。同时，对于该地区民族主义和共产主义的反对声音也日益受到关注。档案详细记录了日本势力的崛起、第二次世界大战的爆发及其直接后果。</w:t>
      </w:r>
    </w:p>
    <w:p w14:paraId="50450688">
      <w:pPr>
        <w:spacing w:before="120" w:after="120" w:line="360" w:lineRule="auto"/>
        <w:ind w:firstLine="420"/>
        <w:rPr>
          <w:bCs/>
          <w:sz w:val="24"/>
          <w:szCs w:val="24"/>
        </w:rPr>
      </w:pPr>
      <w:r>
        <w:rPr>
          <w:rFonts w:hint="eastAsia"/>
          <w:bCs/>
          <w:sz w:val="24"/>
          <w:szCs w:val="24"/>
        </w:rPr>
        <w:t>伦敦印度办事处在1887-1948年间收藏的档案和相关机密文件，为英国印度政府提供了一个独特的视角，以审视东南亚大陆尤其是泰国的事务。理论上，英属印度并不应直接介入该地区事务。泰国作为一个独立国家，与其关系主要通过外交部来维护。马来半岛部分属于英国殖民地，部分归于英国宗主国保护范围，其官员向殖民地办公室汇报。而柬埔寨、老挝和越南则是法国的殖民地。但实际上，印度在该地区扮演了重要角色，体现在：</w:t>
      </w:r>
    </w:p>
    <w:p w14:paraId="031862CE">
      <w:pPr>
        <w:pStyle w:val="15"/>
        <w:numPr>
          <w:ilvl w:val="0"/>
          <w:numId w:val="8"/>
        </w:numPr>
        <w:spacing w:before="156" w:beforeLines="50" w:after="156" w:afterLines="50" w:line="360" w:lineRule="auto"/>
        <w:rPr>
          <w:bCs/>
          <w:sz w:val="24"/>
          <w:szCs w:val="24"/>
        </w:rPr>
      </w:pPr>
      <w:r>
        <w:rPr>
          <w:rFonts w:hint="eastAsia"/>
          <w:bCs/>
          <w:sz w:val="24"/>
          <w:szCs w:val="24"/>
        </w:rPr>
        <w:t>印度军队始终是英国战略规划的主要资源；</w:t>
      </w:r>
    </w:p>
    <w:p w14:paraId="599332AE">
      <w:pPr>
        <w:pStyle w:val="15"/>
        <w:numPr>
          <w:ilvl w:val="0"/>
          <w:numId w:val="8"/>
        </w:numPr>
        <w:spacing w:before="156" w:beforeLines="50" w:after="156" w:afterLines="50" w:line="360" w:lineRule="auto"/>
        <w:rPr>
          <w:bCs/>
          <w:sz w:val="24"/>
          <w:szCs w:val="24"/>
        </w:rPr>
      </w:pPr>
      <w:r>
        <w:rPr>
          <w:rFonts w:hint="eastAsia"/>
          <w:bCs/>
          <w:sz w:val="24"/>
          <w:szCs w:val="24"/>
        </w:rPr>
        <w:t>英属缅甸（1824-26年、1852-54年和1885-86年战争后通过兼并分三个阶段建立，1937年之前一直作为英属印度的一个省管理）与印度之间的边界不断演变，使印度与泰国之间有几百英里的交界处，并与法国在湄公河北部的利益集团有联系；</w:t>
      </w:r>
    </w:p>
    <w:p w14:paraId="7F0C1FBE">
      <w:pPr>
        <w:pStyle w:val="15"/>
        <w:numPr>
          <w:ilvl w:val="0"/>
          <w:numId w:val="8"/>
        </w:numPr>
        <w:spacing w:before="156" w:beforeLines="50" w:after="156" w:afterLines="50" w:line="360" w:lineRule="auto"/>
        <w:rPr>
          <w:bCs/>
          <w:sz w:val="24"/>
          <w:szCs w:val="24"/>
        </w:rPr>
      </w:pPr>
      <w:r>
        <w:rPr>
          <w:rFonts w:hint="eastAsia"/>
          <w:bCs/>
          <w:sz w:val="24"/>
          <w:szCs w:val="24"/>
        </w:rPr>
        <w:t>当时有大量英国殖民者，主要是缅甸人和印度人，在泰国生活和工作。</w:t>
      </w:r>
    </w:p>
    <w:p w14:paraId="0F2AA766">
      <w:pPr>
        <w:spacing w:before="120" w:after="120" w:line="360" w:lineRule="auto"/>
        <w:ind w:firstLine="420"/>
        <w:rPr>
          <w:b/>
          <w:sz w:val="24"/>
          <w:szCs w:val="24"/>
        </w:rPr>
      </w:pPr>
      <w:r>
        <w:rPr>
          <w:rFonts w:hint="eastAsia"/>
          <w:b/>
          <w:sz w:val="24"/>
          <w:szCs w:val="24"/>
        </w:rPr>
        <w:t>出处和历史背景</w:t>
      </w:r>
    </w:p>
    <w:p w14:paraId="7264B2C4">
      <w:pPr>
        <w:spacing w:before="120" w:after="120" w:line="360" w:lineRule="auto"/>
        <w:ind w:firstLine="420"/>
        <w:rPr>
          <w:bCs/>
          <w:sz w:val="24"/>
          <w:szCs w:val="24"/>
        </w:rPr>
      </w:pPr>
      <w:r>
        <w:rPr>
          <w:rFonts w:hint="eastAsia"/>
          <w:bCs/>
          <w:sz w:val="24"/>
          <w:szCs w:val="24"/>
        </w:rPr>
        <w:t>所有档案和相关机密印刷品都是印度办事处档案中政治和保密部以及缅甸办事处文件的一部分（除了军事部图书馆的两个项目，L/MIL/17）。这些档案包括从印度政府外交部和印度其他来源、缅甸政府和伦敦外交部收到的各种文件，以及印度办事处编写的会议记录、评论和答复。收到的文件要经过部门登记处，按年度顺序编号存档，然后再转交给部门官员。由于定期的“除草”和合并计划，这些文件最终被归入以下五组中的一组：</w:t>
      </w:r>
    </w:p>
    <w:p w14:paraId="1C2B0AAF">
      <w:pPr>
        <w:pStyle w:val="15"/>
        <w:numPr>
          <w:ilvl w:val="0"/>
          <w:numId w:val="9"/>
        </w:numPr>
        <w:spacing w:before="156" w:beforeLines="50" w:after="156" w:afterLines="50" w:line="360" w:lineRule="auto"/>
        <w:rPr>
          <w:bCs/>
          <w:sz w:val="24"/>
          <w:szCs w:val="24"/>
        </w:rPr>
      </w:pPr>
      <w:r>
        <w:rPr>
          <w:rFonts w:hint="eastAsia"/>
          <w:bCs/>
          <w:sz w:val="24"/>
          <w:szCs w:val="24"/>
        </w:rPr>
        <w:t>L/P&amp;S/10政治和秘密单独（或主题）档案，1902-1931年。多年来收藏的有关特定主题的连续文件档案；</w:t>
      </w:r>
    </w:p>
    <w:p w14:paraId="3A458A41">
      <w:pPr>
        <w:pStyle w:val="15"/>
        <w:numPr>
          <w:ilvl w:val="0"/>
          <w:numId w:val="9"/>
        </w:numPr>
        <w:spacing w:before="156" w:beforeLines="50" w:after="156" w:afterLines="50" w:line="360" w:lineRule="auto"/>
        <w:rPr>
          <w:bCs/>
          <w:sz w:val="24"/>
          <w:szCs w:val="24"/>
        </w:rPr>
      </w:pPr>
      <w:r>
        <w:rPr>
          <w:rFonts w:hint="eastAsia"/>
          <w:bCs/>
          <w:sz w:val="24"/>
          <w:szCs w:val="24"/>
        </w:rPr>
        <w:t>L/P&amp;S/11政治和机密年度档案，1912-1930年。与一年内处理的事务有关的档案；</w:t>
      </w:r>
    </w:p>
    <w:p w14:paraId="18D5BFAD">
      <w:pPr>
        <w:pStyle w:val="15"/>
        <w:numPr>
          <w:ilvl w:val="0"/>
          <w:numId w:val="9"/>
        </w:numPr>
        <w:spacing w:before="156" w:beforeLines="50" w:after="156" w:afterLines="50" w:line="360" w:lineRule="auto"/>
        <w:rPr>
          <w:bCs/>
          <w:sz w:val="24"/>
          <w:szCs w:val="24"/>
        </w:rPr>
      </w:pPr>
      <w:r>
        <w:rPr>
          <w:rFonts w:hint="eastAsia"/>
          <w:bCs/>
          <w:sz w:val="24"/>
          <w:szCs w:val="24"/>
        </w:rPr>
        <w:t>L/P&amp;S/12政治外部档案集，1931-1950年。主题广泛的档案集，包含大量连续的档案收藏；</w:t>
      </w:r>
    </w:p>
    <w:p w14:paraId="5B26FE14">
      <w:pPr>
        <w:pStyle w:val="15"/>
        <w:numPr>
          <w:ilvl w:val="0"/>
          <w:numId w:val="9"/>
        </w:numPr>
        <w:spacing w:before="156" w:beforeLines="50" w:after="156" w:afterLines="50" w:line="360" w:lineRule="auto"/>
        <w:rPr>
          <w:bCs/>
          <w:sz w:val="24"/>
          <w:szCs w:val="24"/>
        </w:rPr>
      </w:pPr>
      <w:r>
        <w:rPr>
          <w:rFonts w:hint="eastAsia"/>
          <w:bCs/>
          <w:sz w:val="24"/>
          <w:szCs w:val="24"/>
        </w:rPr>
        <w:t>M/3缅甸办事处年度档案，1937-1948年；</w:t>
      </w:r>
    </w:p>
    <w:p w14:paraId="01EE21E2">
      <w:pPr>
        <w:pStyle w:val="15"/>
        <w:numPr>
          <w:ilvl w:val="0"/>
          <w:numId w:val="9"/>
        </w:numPr>
        <w:spacing w:before="156" w:beforeLines="50" w:after="156" w:afterLines="50" w:line="360" w:lineRule="auto"/>
        <w:rPr>
          <w:bCs/>
          <w:sz w:val="24"/>
          <w:szCs w:val="24"/>
        </w:rPr>
      </w:pPr>
      <w:r>
        <w:rPr>
          <w:rFonts w:hint="eastAsia"/>
          <w:bCs/>
          <w:sz w:val="24"/>
          <w:szCs w:val="24"/>
        </w:rPr>
        <w:t>M/4缅甸办事处年度档案：外交与边疆，1946-1948年。</w:t>
      </w:r>
    </w:p>
    <w:p w14:paraId="27967BB2">
      <w:pPr>
        <w:spacing w:before="120" w:after="120" w:line="360" w:lineRule="auto"/>
        <w:ind w:firstLine="420"/>
        <w:rPr>
          <w:bCs/>
          <w:sz w:val="24"/>
          <w:szCs w:val="24"/>
        </w:rPr>
      </w:pPr>
      <w:r>
        <w:rPr>
          <w:rFonts w:hint="eastAsia"/>
          <w:bCs/>
          <w:sz w:val="24"/>
          <w:szCs w:val="24"/>
        </w:rPr>
        <w:t>1937年缅甸从英属印度分离出来后，印度办事处的官员被任命组建缅甸办事处，印度国务大臣在缅甸担任同样的职务。政治和保密部还保存了印度办公室、外交部或印度政府官员编写的备忘录（L/P&amp;S/18），并拥有自己的秘密/机密印刷品和官方出版物参考图书馆（L/P&amp;S/20）。</w:t>
      </w:r>
    </w:p>
    <w:p w14:paraId="53143607">
      <w:pPr>
        <w:spacing w:before="120" w:after="120" w:line="360" w:lineRule="auto"/>
        <w:ind w:firstLine="420"/>
        <w:rPr>
          <w:bCs/>
          <w:sz w:val="24"/>
          <w:szCs w:val="24"/>
        </w:rPr>
      </w:pPr>
      <w:r>
        <w:rPr>
          <w:rFonts w:hint="eastAsia"/>
          <w:bCs/>
          <w:sz w:val="24"/>
          <w:szCs w:val="24"/>
        </w:rPr>
        <w:t>1947/1948年印度独立后，印度办事处的所有部门都归入英联邦关系办公室（后来成为外交和联邦事务部）。1982年，外交和联邦事务部将印度办事处图书馆和记录的管理权移交给了大英图书馆，现在它是大英图书馆亚洲、太平洋和非洲馆藏的一部分。</w:t>
      </w:r>
    </w:p>
    <w:p w14:paraId="49699DA2">
      <w:pPr>
        <w:spacing w:before="120" w:after="120" w:line="360" w:lineRule="auto"/>
        <w:ind w:firstLine="420"/>
        <w:rPr>
          <w:bCs/>
          <w:sz w:val="24"/>
          <w:szCs w:val="24"/>
        </w:rPr>
      </w:pPr>
      <w:r>
        <w:rPr>
          <w:rFonts w:hint="eastAsia"/>
          <w:bCs/>
          <w:sz w:val="24"/>
          <w:szCs w:val="24"/>
        </w:rPr>
        <w:t>A.J.法林顿</w:t>
      </w:r>
    </w:p>
    <w:p w14:paraId="70752F66">
      <w:pPr>
        <w:spacing w:before="120" w:after="120" w:line="360" w:lineRule="auto"/>
        <w:ind w:firstLine="420"/>
        <w:rPr>
          <w:bCs/>
          <w:sz w:val="24"/>
          <w:szCs w:val="24"/>
        </w:rPr>
      </w:pPr>
      <w:r>
        <w:rPr>
          <w:rFonts w:hint="eastAsia"/>
          <w:bCs/>
          <w:sz w:val="24"/>
          <w:szCs w:val="24"/>
        </w:rPr>
        <w:t>大英图书馆东方和印度办事处中东档案馆（现为亚洲、太平洋和非洲档案馆藏的一部分）前副主任。</w:t>
      </w:r>
    </w:p>
    <w:p w14:paraId="47DA8B28">
      <w:pPr>
        <w:pStyle w:val="2"/>
        <w:rPr>
          <w:rFonts w:ascii="Georgia" w:hAnsi="Georgia"/>
          <w:color w:val="005329"/>
          <w:spacing w:val="-12"/>
        </w:rPr>
      </w:pPr>
      <w:bookmarkStart w:id="15" w:name="_Toc6560"/>
      <w:r>
        <w:rPr>
          <w:rFonts w:ascii="Georgia" w:hAnsi="Georgia"/>
          <w:color w:val="005329"/>
          <w:spacing w:val="-12"/>
        </w:rPr>
        <w:t xml:space="preserve">12.  </w:t>
      </w:r>
      <w:r>
        <w:rPr>
          <w:rFonts w:hint="eastAsia"/>
        </w:rPr>
        <w:t>英国关于海湾阿拉伯国家的情报档案， 1914-1948年</w:t>
      </w:r>
      <w:bookmarkEnd w:id="15"/>
    </w:p>
    <w:p w14:paraId="75C00565">
      <w:pPr>
        <w:widowControl/>
        <w:wordWrap w:val="0"/>
        <w:spacing w:line="360" w:lineRule="auto"/>
        <w:ind w:firstLine="480"/>
        <w:textAlignment w:val="baseline"/>
        <w:rPr>
          <w:rFonts w:eastAsia="宋体"/>
          <w:sz w:val="24"/>
          <w:szCs w:val="24"/>
        </w:rPr>
      </w:pPr>
      <w:r>
        <w:rPr>
          <w:rFonts w:ascii="inherit" w:hAnsi="inherit" w:eastAsia="宋体" w:cs="宋体"/>
          <w:b/>
          <w:bCs/>
          <w:color w:val="555555"/>
          <w:kern w:val="0"/>
          <w:sz w:val="24"/>
          <w:szCs w:val="24"/>
        </w:rPr>
        <w:t>数据库网址：</w:t>
      </w:r>
      <w:r>
        <w:rPr>
          <w:rFonts w:eastAsia="宋体"/>
          <w:sz w:val="24"/>
          <w:szCs w:val="24"/>
        </w:rPr>
        <w:fldChar w:fldCharType="begin"/>
      </w:r>
      <w:r>
        <w:rPr>
          <w:rFonts w:eastAsia="宋体"/>
          <w:sz w:val="24"/>
          <w:szCs w:val="24"/>
        </w:rPr>
        <w:instrText xml:space="preserve"> HYPERLINK "https://www.degruyter.com/database/GULF/html" </w:instrText>
      </w:r>
      <w:r>
        <w:rPr>
          <w:rFonts w:eastAsia="宋体"/>
          <w:sz w:val="24"/>
          <w:szCs w:val="24"/>
        </w:rPr>
        <w:fldChar w:fldCharType="separate"/>
      </w:r>
      <w:r>
        <w:rPr>
          <w:rStyle w:val="12"/>
          <w:rFonts w:eastAsia="宋体"/>
          <w:sz w:val="24"/>
          <w:szCs w:val="24"/>
        </w:rPr>
        <w:t>https://www.degruyter.com/database/GULF/html</w:t>
      </w:r>
      <w:r>
        <w:rPr>
          <w:rFonts w:eastAsia="宋体"/>
          <w:sz w:val="24"/>
          <w:szCs w:val="24"/>
        </w:rPr>
        <w:fldChar w:fldCharType="end"/>
      </w:r>
    </w:p>
    <w:p w14:paraId="2378B4EC">
      <w:pPr>
        <w:widowControl/>
        <w:wordWrap w:val="0"/>
        <w:spacing w:line="360" w:lineRule="auto"/>
        <w:ind w:firstLine="480"/>
        <w:textAlignment w:val="baseline"/>
        <w:rPr>
          <w:bCs/>
          <w:sz w:val="24"/>
          <w:szCs w:val="24"/>
        </w:rPr>
      </w:pPr>
      <w:r>
        <w:rPr>
          <w:rFonts w:ascii="inherit" w:hAnsi="inherit" w:eastAsia="宋体" w:cs="宋体"/>
          <w:b/>
          <w:bCs/>
          <w:color w:val="555555"/>
          <w:kern w:val="0"/>
          <w:sz w:val="24"/>
          <w:szCs w:val="24"/>
        </w:rPr>
        <w:t xml:space="preserve">数据库简介： </w:t>
      </w:r>
      <w:r>
        <w:rPr>
          <w:rFonts w:hint="eastAsia"/>
          <w:bCs/>
          <w:sz w:val="24"/>
          <w:szCs w:val="24"/>
        </w:rPr>
        <w:t>二十世纪上半叶，阿拉伯海湾国家经历了翻天覆地的变化。这些沙漠中的小小酋长国，因其在亚欧航线上的战略和地缘政治重要性，几个世纪以来一直是国际关注的焦点。二十世纪二三十年代，随着潜在巨大石油储量的发现，一场前所未有的变革开始了，最终造就了今天充满活力和强大的现代城市国家。印度办事处政治和秘密部的档案，是研究这一时期历史的重要资料来源。</w:t>
      </w:r>
    </w:p>
    <w:p w14:paraId="68C18BD6">
      <w:pPr>
        <w:spacing w:before="120" w:after="120" w:line="360" w:lineRule="auto"/>
        <w:ind w:firstLine="420"/>
        <w:rPr>
          <w:bCs/>
          <w:sz w:val="24"/>
          <w:szCs w:val="24"/>
        </w:rPr>
      </w:pPr>
      <w:r>
        <w:rPr>
          <w:rFonts w:hint="eastAsia"/>
          <w:bCs/>
          <w:sz w:val="24"/>
          <w:szCs w:val="24"/>
        </w:rPr>
        <w:t>从J.G. Lorimer著名的《波斯湾地名录》开始，这些原始资料首次提供在线完整版，包括机密报告、地图、手册、备忘录以及政策档案，详细描述了该地区外交和经济谈判的背景以及国际利益。</w:t>
      </w:r>
    </w:p>
    <w:p w14:paraId="641E833B">
      <w:pPr>
        <w:spacing w:before="120" w:after="120" w:line="360" w:lineRule="auto"/>
        <w:ind w:firstLine="420"/>
        <w:rPr>
          <w:bCs/>
          <w:sz w:val="24"/>
          <w:szCs w:val="24"/>
        </w:rPr>
      </w:pPr>
      <w:r>
        <w:rPr>
          <w:rFonts w:hint="eastAsia"/>
          <w:bCs/>
          <w:sz w:val="24"/>
          <w:szCs w:val="24"/>
        </w:rPr>
        <w:t>波斯湾地名录</w:t>
      </w:r>
    </w:p>
    <w:p w14:paraId="019D5D42">
      <w:pPr>
        <w:spacing w:before="120" w:after="120" w:line="360" w:lineRule="auto"/>
        <w:ind w:firstLine="420"/>
        <w:rPr>
          <w:bCs/>
          <w:sz w:val="24"/>
          <w:szCs w:val="24"/>
        </w:rPr>
      </w:pPr>
      <w:r>
        <w:rPr>
          <w:rFonts w:hint="eastAsia"/>
          <w:bCs/>
          <w:sz w:val="24"/>
          <w:szCs w:val="24"/>
        </w:rPr>
        <w:t>1903年，英国印度政府为了在海湾地区维护帝国权威，委托编写该地区的综合地名词典。这部地名词典由印度政治事务官员约翰·戈登·洛里默（</w:t>
      </w:r>
      <w:r>
        <w:rPr>
          <w:bCs/>
          <w:sz w:val="24"/>
          <w:szCs w:val="24"/>
        </w:rPr>
        <w:t>John Gordon Lorimer</w:t>
      </w:r>
      <w:r>
        <w:rPr>
          <w:rFonts w:hint="eastAsia"/>
          <w:bCs/>
          <w:sz w:val="24"/>
          <w:szCs w:val="24"/>
        </w:rPr>
        <w:t>）编纂。洛里默的工作始于陪同印度总督柯曾勋爵巡视海湾，这次巡视本身也是为了展示英国的统治地位和实力。《波斯湾地名录》仅供政府使用，被列为机密，于1915年完成，远远超出了其最初的职权范围。洛里默的《波斯湾地名录》是本作品集的第一部分，包括详细的地理、地形、历史和经济信息，至今仍是研究海湾国家的起点工具。</w:t>
      </w:r>
    </w:p>
    <w:p w14:paraId="0D0F52E5">
      <w:pPr>
        <w:spacing w:before="120" w:after="120" w:line="360" w:lineRule="auto"/>
        <w:ind w:firstLine="420"/>
        <w:rPr>
          <w:bCs/>
          <w:sz w:val="24"/>
          <w:szCs w:val="24"/>
        </w:rPr>
      </w:pPr>
      <w:r>
        <w:rPr>
          <w:rFonts w:hint="eastAsia"/>
          <w:bCs/>
          <w:sz w:val="24"/>
          <w:szCs w:val="24"/>
        </w:rPr>
        <w:t>石油</w:t>
      </w:r>
    </w:p>
    <w:p w14:paraId="1FEBCB39">
      <w:pPr>
        <w:spacing w:before="120" w:after="120" w:line="360" w:lineRule="auto"/>
        <w:ind w:firstLine="420"/>
        <w:rPr>
          <w:bCs/>
          <w:sz w:val="24"/>
          <w:szCs w:val="24"/>
        </w:rPr>
      </w:pPr>
      <w:r>
        <w:rPr>
          <w:rFonts w:hint="eastAsia"/>
          <w:bCs/>
          <w:sz w:val="24"/>
          <w:szCs w:val="24"/>
        </w:rPr>
        <w:t>海湾地区的石油勘探始于二十世纪初的波斯一侧，第一次世界大战凸显了控制石油供应的重要性。战后，阿拉伯海湾酋长国的首次石油谈判使世界工业强国的注意力集中到石油业务的潜在利润以及战略和经济影响上。与此同时，石油工人、谈判人员、地质学家和技术人员等外籍人士的到来，促进了通信和基础设施项目的发展，如阿拉伯湾沿岸航线。与此同时，在近海，就海湾许多小岛的所有权问题也在进行着平行谈判，有时涉及石油和通信，有时涉及战略问题。1939年第二次世界大战爆发时，英国关心的是如何为每个阿拉伯海湾国家和海湾水道制定适当的防御措施。</w:t>
      </w:r>
    </w:p>
    <w:p w14:paraId="33E0193F">
      <w:pPr>
        <w:spacing w:before="120" w:after="120" w:line="360" w:lineRule="auto"/>
        <w:ind w:firstLine="420"/>
        <w:rPr>
          <w:bCs/>
          <w:sz w:val="24"/>
          <w:szCs w:val="24"/>
        </w:rPr>
      </w:pPr>
      <w:r>
        <w:rPr>
          <w:rFonts w:hint="eastAsia"/>
          <w:bCs/>
          <w:sz w:val="24"/>
          <w:szCs w:val="24"/>
        </w:rPr>
        <w:t>英国与海湾国家的关系</w:t>
      </w:r>
    </w:p>
    <w:p w14:paraId="37354550">
      <w:pPr>
        <w:spacing w:before="120" w:after="120" w:line="360" w:lineRule="auto"/>
        <w:ind w:firstLine="420"/>
        <w:rPr>
          <w:bCs/>
          <w:sz w:val="24"/>
          <w:szCs w:val="24"/>
        </w:rPr>
      </w:pPr>
      <w:r>
        <w:rPr>
          <w:rFonts w:hint="eastAsia"/>
          <w:bCs/>
          <w:sz w:val="24"/>
          <w:szCs w:val="24"/>
        </w:rPr>
        <w:t>在这一经济、社会和政治变革时期，英国人在该地区发挥了无与伦比的影响力，并通过他们在各国的政治代表和顾问，观察和报告生活的各个方面。由于毗邻印度次大陆，阿拉伯海湾国家被纳入了大英帝国在印度的行政管理范围。</w:t>
      </w:r>
      <w:r>
        <w:rPr>
          <w:bCs/>
          <w:sz w:val="24"/>
          <w:szCs w:val="24"/>
        </w:rPr>
        <w:t>因此，英国政府印度办公室政治和秘密部门的档案是海湾历史的重要资料来源。英国与海湾酋长国的关系由当地的英国政治专员负责，直到1948年，政治专员一直驻扎在波斯一侧的布什尔。政治代理人和当地任命的官员被派驻到巴林、科威特、马斯喀特和沙迦。居民和代理人都直接向孟买、加尔各答或德里的帝国政府报告，并最终向伦敦的印度办公室报告</w:t>
      </w:r>
      <w:r>
        <w:rPr>
          <w:rFonts w:hint="eastAsia"/>
          <w:bCs/>
          <w:sz w:val="24"/>
          <w:szCs w:val="24"/>
        </w:rPr>
        <w:t>。</w:t>
      </w:r>
      <w:r>
        <w:rPr>
          <w:bCs/>
          <w:sz w:val="24"/>
          <w:szCs w:val="24"/>
        </w:rPr>
        <w:t>负责处理和监督与海湾关系的部门是政治和秘密部门</w:t>
      </w:r>
      <w:r>
        <w:rPr>
          <w:rFonts w:hint="eastAsia"/>
          <w:bCs/>
          <w:sz w:val="24"/>
          <w:szCs w:val="24"/>
        </w:rPr>
        <w:t>，其</w:t>
      </w:r>
      <w:r>
        <w:rPr>
          <w:bCs/>
          <w:sz w:val="24"/>
          <w:szCs w:val="24"/>
        </w:rPr>
        <w:t>与其他英国政府部门，如外交部、殖民地办公室、战争办公室和空军部联络，并讨论海湾政策问题</w:t>
      </w:r>
      <w:r>
        <w:rPr>
          <w:rFonts w:hint="eastAsia"/>
          <w:bCs/>
          <w:sz w:val="24"/>
          <w:szCs w:val="24"/>
        </w:rPr>
        <w:t>。</w:t>
      </w:r>
    </w:p>
    <w:p w14:paraId="11B0F1D5">
      <w:pPr>
        <w:spacing w:before="120" w:after="120" w:line="360" w:lineRule="auto"/>
        <w:ind w:firstLine="420"/>
        <w:rPr>
          <w:bCs/>
          <w:sz w:val="24"/>
          <w:szCs w:val="24"/>
        </w:rPr>
      </w:pPr>
      <w:r>
        <w:rPr>
          <w:rFonts w:hint="eastAsia"/>
          <w:bCs/>
          <w:sz w:val="24"/>
          <w:szCs w:val="24"/>
        </w:rPr>
        <w:t>出处和历史背景</w:t>
      </w:r>
    </w:p>
    <w:p w14:paraId="4C3A396B">
      <w:pPr>
        <w:spacing w:before="120" w:after="120" w:line="360" w:lineRule="auto"/>
        <w:ind w:firstLine="420"/>
        <w:rPr>
          <w:bCs/>
          <w:sz w:val="24"/>
          <w:szCs w:val="24"/>
        </w:rPr>
      </w:pPr>
      <w:r>
        <w:rPr>
          <w:rFonts w:hint="eastAsia"/>
          <w:bCs/>
          <w:sz w:val="24"/>
          <w:szCs w:val="24"/>
        </w:rPr>
        <w:t>所有档案和相关机密印刷品都是印度办事处档案中政治和保密部以及缅甸办事处文件的一部分（除了军事部图书馆的两个项目，L/MIL/17）。这些档案包括从印度政府外交部和印度其他来源、缅甸政府和伦敦外交部收到的各种文件，以及印度办事处编写的会议记录、评论和答复。收到的文件要经过部门登记处，按年度顺序编号存档，然后再转交给部门官员。由于定期的“除草”和合并计划，这些文件最终被归入以下五组中的一组：</w:t>
      </w:r>
    </w:p>
    <w:p w14:paraId="70B98AD2">
      <w:pPr>
        <w:spacing w:before="120" w:after="120" w:line="360" w:lineRule="auto"/>
        <w:ind w:firstLine="420"/>
        <w:rPr>
          <w:bCs/>
          <w:sz w:val="24"/>
          <w:szCs w:val="24"/>
        </w:rPr>
      </w:pPr>
      <w:r>
        <w:rPr>
          <w:rFonts w:hint="eastAsia"/>
          <w:bCs/>
          <w:sz w:val="24"/>
          <w:szCs w:val="24"/>
        </w:rPr>
        <w:t>印度办事处政治和秘密部档案是大英图书馆东方和印度办事处藏品（OIOC，现为亚洲、太平洋和非洲藏品的一部分）的一部分。从1902年起，政治和秘密部在伦敦积累的最重要的信件和文件都被登记、编制索引并按主题装订成册。与此同时，该部门还建立了自己的保密手册参考图书馆，供内部官员和军事部门及其他印度办事处部门使用。政治和秘密部的文件现已编入OIOC索引L/PS下。1902年至1930年期间的主题文件被归入L/P&amp;S/10编号。大约在1930/1931年，该部门用新的“档案集”系列取代了主题档案系统，按照地理区域排列。其中一些收藏集被装订成册；其他收藏集，尤其是在战前和二战期间，则被简单地放在有标签的档案中。这些资料现在编目为L/P&amp;S/12。该系列中的资料主要来自“档案集30号”（波斯湾），还有一些来自“档案集5号”（航空）的相关材料。</w:t>
      </w:r>
    </w:p>
    <w:p w14:paraId="190F8909">
      <w:pPr>
        <w:spacing w:before="120" w:after="120" w:line="360" w:lineRule="auto"/>
        <w:ind w:firstLine="420"/>
        <w:rPr>
          <w:bCs/>
          <w:sz w:val="24"/>
          <w:szCs w:val="24"/>
        </w:rPr>
      </w:pPr>
      <w:r>
        <w:rPr>
          <w:rFonts w:hint="eastAsia"/>
          <w:bCs/>
          <w:sz w:val="24"/>
          <w:szCs w:val="24"/>
        </w:rPr>
        <w:t>文件内容</w:t>
      </w:r>
    </w:p>
    <w:p w14:paraId="0408E3BB">
      <w:pPr>
        <w:spacing w:before="120" w:after="120" w:line="360" w:lineRule="auto"/>
        <w:ind w:firstLine="420"/>
        <w:rPr>
          <w:bCs/>
          <w:sz w:val="24"/>
          <w:szCs w:val="24"/>
        </w:rPr>
      </w:pPr>
      <w:r>
        <w:rPr>
          <w:rFonts w:hint="eastAsia"/>
          <w:bCs/>
          <w:sz w:val="24"/>
          <w:szCs w:val="24"/>
        </w:rPr>
        <w:t>本资料集的重点是海湾国家在经济和国际领域的情况。</w:t>
      </w:r>
    </w:p>
    <w:p w14:paraId="64153F05">
      <w:pPr>
        <w:spacing w:before="120" w:after="120" w:line="360" w:lineRule="auto"/>
        <w:ind w:firstLine="420"/>
        <w:rPr>
          <w:bCs/>
          <w:sz w:val="24"/>
          <w:szCs w:val="24"/>
        </w:rPr>
      </w:pPr>
      <w:r>
        <w:rPr>
          <w:rFonts w:hint="eastAsia"/>
          <w:bCs/>
          <w:sz w:val="24"/>
          <w:szCs w:val="24"/>
        </w:rPr>
        <w:t>在本收藏集中，第一部分的地名词典和手册包括军事、海军和水文报告以及外交条约。此外，这些项目还涵盖了一系列广泛的历史、地形、社会、部落和传记信息。政治和秘密部门文件（第2-4部分）包括与国际和地区外交谈判有关的政策文件和文档。它们涉及海湾岛屿主权问题和近海区域边界争端；有关石油资源开发和使用的问题，包括已签署的特许权和勘探协议；有关海湾地区航行和贸易的报告和调查；以及航空和阿拉伯湾航线的开发和利用，包括与当地统治者签署的关于机场、休息室和着陆权的协议。档案中包括许多阿拉伯语文档（始终附有英文翻译），特别是与海湾国家统治者的通信和协议。</w:t>
      </w:r>
    </w:p>
    <w:p w14:paraId="1E1F849A">
      <w:pPr>
        <w:spacing w:before="120" w:after="120" w:line="360" w:lineRule="auto"/>
        <w:ind w:firstLine="420"/>
        <w:rPr>
          <w:bCs/>
          <w:sz w:val="24"/>
          <w:szCs w:val="24"/>
        </w:rPr>
      </w:pPr>
      <w:r>
        <w:rPr>
          <w:rFonts w:hint="eastAsia"/>
          <w:bCs/>
          <w:sz w:val="24"/>
          <w:szCs w:val="24"/>
        </w:rPr>
        <w:t>英国官员定期提交的详细报告介绍了各个国家——科威特、巴林、卡塔尔、阿拉伯联合酋长国和阿曼——的经济发展及其相互关系和与世界的关系。部门间会议记录、外交信函和政府间讨论都阐述了英国和国际视角。</w:t>
      </w:r>
      <w:r>
        <w:rPr>
          <w:bCs/>
          <w:sz w:val="24"/>
          <w:szCs w:val="24"/>
        </w:rPr>
        <w:t>一些最具洞察力和信息量的评论可以在高级印度办公室官员的打字或更常见的手写笔记中找到。</w:t>
      </w:r>
      <w:r>
        <w:rPr>
          <w:rFonts w:hint="eastAsia"/>
          <w:bCs/>
          <w:sz w:val="24"/>
          <w:szCs w:val="24"/>
        </w:rPr>
        <w:t>这些由经验丰富、博学多才的人士撰写的意见，提供了对英国在海湾地区观点的独特见解，如分别于1917-1921年和1929-1936年担任政治部秘书的约翰·舒克伯格爵士（</w:t>
      </w:r>
      <w:r>
        <w:rPr>
          <w:bCs/>
          <w:sz w:val="24"/>
          <w:szCs w:val="24"/>
        </w:rPr>
        <w:t>Sir John Shuckburgh</w:t>
      </w:r>
      <w:r>
        <w:rPr>
          <w:rFonts w:hint="eastAsia"/>
          <w:bCs/>
          <w:sz w:val="24"/>
          <w:szCs w:val="24"/>
        </w:rPr>
        <w:t>, “JES”）和J.C.沃尔顿（</w:t>
      </w:r>
      <w:r>
        <w:rPr>
          <w:bCs/>
          <w:sz w:val="24"/>
          <w:szCs w:val="24"/>
        </w:rPr>
        <w:t>J.C. Walton</w:t>
      </w:r>
      <w:r>
        <w:rPr>
          <w:rFonts w:hint="eastAsia"/>
          <w:bCs/>
          <w:sz w:val="24"/>
          <w:szCs w:val="24"/>
        </w:rPr>
        <w:t>，“JCW”）以及著名的印度副国务卿（如</w:t>
      </w:r>
      <w:r>
        <w:rPr>
          <w:bCs/>
          <w:sz w:val="24"/>
          <w:szCs w:val="24"/>
        </w:rPr>
        <w:t>Sir F.A. Hirtzel or Sir Gilbert Laithwaite</w:t>
      </w:r>
      <w:r>
        <w:rPr>
          <w:rFonts w:hint="eastAsia"/>
          <w:bCs/>
          <w:sz w:val="24"/>
          <w:szCs w:val="24"/>
        </w:rPr>
        <w:t>）。</w:t>
      </w:r>
    </w:p>
    <w:p w14:paraId="3A2EBCFF">
      <w:pPr>
        <w:spacing w:before="120" w:after="120" w:line="360" w:lineRule="auto"/>
        <w:ind w:firstLine="420"/>
        <w:rPr>
          <w:bCs/>
          <w:sz w:val="24"/>
          <w:szCs w:val="24"/>
        </w:rPr>
      </w:pPr>
      <w:r>
        <w:rPr>
          <w:rFonts w:hint="eastAsia"/>
          <w:bCs/>
          <w:sz w:val="24"/>
          <w:szCs w:val="24"/>
        </w:rPr>
        <w:t>手册和地名词典以及部门档案都包括大量地图，显示了自然特征、居住区、路线、边界、特许协议、岛屿和港口。许多地图以前被列为机密、绝密或保密级别。</w:t>
      </w:r>
    </w:p>
    <w:p w14:paraId="2E154D31">
      <w:pPr>
        <w:spacing w:before="120" w:after="120" w:line="360" w:lineRule="auto"/>
        <w:ind w:firstLine="420"/>
        <w:rPr>
          <w:bCs/>
          <w:sz w:val="24"/>
          <w:szCs w:val="24"/>
        </w:rPr>
      </w:pPr>
      <w:r>
        <w:rPr>
          <w:rFonts w:hint="eastAsia"/>
          <w:bCs/>
          <w:sz w:val="24"/>
          <w:szCs w:val="24"/>
        </w:rPr>
        <w:t>佩内洛普·图森</w:t>
      </w:r>
    </w:p>
    <w:p w14:paraId="684642E9">
      <w:pPr>
        <w:spacing w:before="120" w:after="120" w:line="360" w:lineRule="auto"/>
        <w:ind w:firstLine="420"/>
        <w:rPr>
          <w:bCs/>
          <w:sz w:val="24"/>
          <w:szCs w:val="24"/>
        </w:rPr>
      </w:pPr>
      <w:r>
        <w:rPr>
          <w:rFonts w:hint="eastAsia"/>
          <w:bCs/>
          <w:sz w:val="24"/>
          <w:szCs w:val="24"/>
        </w:rPr>
        <w:t>大英图书馆东方和印度办事处藏品（OIOC，现为亚洲、太平洋和非洲藏品的一部分）中东档案前馆长。</w:t>
      </w:r>
    </w:p>
    <w:p w14:paraId="430A600D">
      <w:pPr>
        <w:pStyle w:val="2"/>
        <w:rPr>
          <w:rFonts w:ascii="Georgia" w:hAnsi="Georgia"/>
          <w:color w:val="005329"/>
          <w:spacing w:val="-12"/>
        </w:rPr>
      </w:pPr>
      <w:bookmarkStart w:id="16" w:name="_Toc9767"/>
      <w:r>
        <w:rPr>
          <w:rFonts w:ascii="Georgia" w:hAnsi="Georgia"/>
          <w:color w:val="005329"/>
          <w:spacing w:val="-12"/>
        </w:rPr>
        <w:t>13.</w:t>
      </w:r>
      <w:r>
        <w:rPr>
          <w:rFonts w:hint="eastAsia"/>
        </w:rPr>
        <w:t xml:space="preserve"> 英国关于西北边境的情报档案， 1901-1949年</w:t>
      </w:r>
      <w:bookmarkEnd w:id="16"/>
    </w:p>
    <w:p w14:paraId="47C11849">
      <w:pPr>
        <w:widowControl/>
        <w:wordWrap w:val="0"/>
        <w:spacing w:line="360" w:lineRule="auto"/>
        <w:ind w:firstLine="480"/>
        <w:textAlignment w:val="baseline"/>
        <w:rPr>
          <w:rFonts w:eastAsia="宋体"/>
          <w:sz w:val="24"/>
          <w:szCs w:val="24"/>
        </w:rPr>
      </w:pPr>
      <w:r>
        <w:rPr>
          <w:rFonts w:ascii="inherit" w:hAnsi="inherit" w:eastAsia="宋体" w:cs="宋体"/>
          <w:b/>
          <w:bCs/>
          <w:color w:val="555555"/>
          <w:kern w:val="0"/>
          <w:sz w:val="24"/>
          <w:szCs w:val="24"/>
        </w:rPr>
        <w:t>数据库网址：</w:t>
      </w:r>
      <w:r>
        <w:rPr>
          <w:rFonts w:eastAsia="宋体"/>
          <w:sz w:val="24"/>
          <w:szCs w:val="24"/>
        </w:rPr>
        <w:fldChar w:fldCharType="begin"/>
      </w:r>
      <w:r>
        <w:rPr>
          <w:rFonts w:eastAsia="宋体"/>
          <w:sz w:val="24"/>
          <w:szCs w:val="24"/>
        </w:rPr>
        <w:instrText xml:space="preserve"> HYPERLINK "https://www.degruyter.com/database/NWF/html" </w:instrText>
      </w:r>
      <w:r>
        <w:rPr>
          <w:rFonts w:eastAsia="宋体"/>
          <w:sz w:val="24"/>
          <w:szCs w:val="24"/>
        </w:rPr>
        <w:fldChar w:fldCharType="separate"/>
      </w:r>
      <w:r>
        <w:rPr>
          <w:rStyle w:val="12"/>
          <w:rFonts w:eastAsia="宋体"/>
          <w:sz w:val="24"/>
          <w:szCs w:val="24"/>
        </w:rPr>
        <w:t>https://www.degruyter.com/database/NWF/html</w:t>
      </w:r>
      <w:r>
        <w:rPr>
          <w:rFonts w:eastAsia="宋体"/>
          <w:sz w:val="24"/>
          <w:szCs w:val="24"/>
        </w:rPr>
        <w:fldChar w:fldCharType="end"/>
      </w:r>
    </w:p>
    <w:p w14:paraId="7C3949BD">
      <w:pPr>
        <w:widowControl/>
        <w:wordWrap w:val="0"/>
        <w:spacing w:line="360" w:lineRule="auto"/>
        <w:ind w:firstLine="480"/>
        <w:textAlignment w:val="baseline"/>
        <w:rPr>
          <w:rFonts w:hint="eastAsia" w:ascii="inherit" w:hAnsi="inherit" w:eastAsia="宋体" w:cs="宋体"/>
          <w:bCs/>
          <w:color w:val="FF0000"/>
          <w:kern w:val="0"/>
          <w:sz w:val="24"/>
          <w:szCs w:val="24"/>
        </w:rPr>
      </w:pPr>
      <w:r>
        <w:rPr>
          <w:rFonts w:ascii="inherit" w:hAnsi="inherit" w:eastAsia="宋体" w:cs="宋体"/>
          <w:b/>
          <w:bCs/>
          <w:color w:val="555555"/>
          <w:kern w:val="0"/>
          <w:sz w:val="24"/>
          <w:szCs w:val="24"/>
        </w:rPr>
        <w:t xml:space="preserve">数据库简介： </w:t>
      </w:r>
    </w:p>
    <w:p w14:paraId="1BB1176A">
      <w:pPr>
        <w:spacing w:before="120" w:after="120" w:line="360" w:lineRule="auto"/>
        <w:ind w:firstLine="420"/>
        <w:rPr>
          <w:bCs/>
          <w:sz w:val="24"/>
          <w:szCs w:val="24"/>
        </w:rPr>
      </w:pPr>
      <w:r>
        <w:rPr>
          <w:rFonts w:hint="eastAsia"/>
          <w:bCs/>
          <w:sz w:val="24"/>
          <w:szCs w:val="24"/>
        </w:rPr>
        <w:t>2001年9月11日恐怖袭击事件之后，巴基斯坦西北边境省及其首都和行政中心白沙瓦，以及邻近的联邦管理的北瓦济里斯坦和南瓦济里斯坦部落地区，经常出现在与阿富汗军事行动、搜寻基地组织和伊斯兰“圣战”意识形态有关的媒体上。</w:t>
      </w:r>
    </w:p>
    <w:p w14:paraId="73DBF2EE">
      <w:pPr>
        <w:spacing w:before="120" w:after="120" w:line="360" w:lineRule="auto"/>
        <w:ind w:firstLine="420"/>
        <w:rPr>
          <w:bCs/>
          <w:sz w:val="24"/>
          <w:szCs w:val="24"/>
        </w:rPr>
      </w:pPr>
      <w:r>
        <w:rPr>
          <w:rFonts w:hint="eastAsia"/>
          <w:bCs/>
          <w:sz w:val="24"/>
          <w:szCs w:val="24"/>
        </w:rPr>
        <w:t>1901年，印度总督寇松勋爵在同一地区建立了英属印度的“西北边境省”，其行政体系类似但更为松散，这一举措预示了21世纪初的政策走向。直到19世纪末，英国在印度一直采取不干涉其西北边境部落领土的政策。崎岖的地形被认为是天然而适当的边界。然而，在俄国成为潜在的侵略者，以及随后几年英俄在大博弈中的竞争之后，印度和伦敦的决策者中，主张对阿富汗和旁遮普定居地区之间的部落地区进行积极干预的一派声势渐起。</w:t>
      </w:r>
    </w:p>
    <w:p w14:paraId="580381DB">
      <w:pPr>
        <w:spacing w:before="120" w:after="120" w:line="360" w:lineRule="auto"/>
        <w:ind w:firstLine="420"/>
        <w:rPr>
          <w:bCs/>
          <w:sz w:val="24"/>
          <w:szCs w:val="24"/>
        </w:rPr>
      </w:pPr>
      <w:r>
        <w:rPr>
          <w:rFonts w:hint="eastAsia"/>
          <w:bCs/>
          <w:sz w:val="24"/>
          <w:szCs w:val="24"/>
        </w:rPr>
        <w:t>杜兰线</w:t>
      </w:r>
    </w:p>
    <w:p w14:paraId="19998FE5">
      <w:pPr>
        <w:spacing w:before="120" w:after="120" w:line="360" w:lineRule="auto"/>
        <w:ind w:firstLine="420"/>
        <w:rPr>
          <w:bCs/>
          <w:sz w:val="24"/>
          <w:szCs w:val="24"/>
        </w:rPr>
      </w:pPr>
      <w:r>
        <w:rPr>
          <w:rFonts w:hint="eastAsia"/>
          <w:bCs/>
          <w:sz w:val="24"/>
          <w:szCs w:val="24"/>
        </w:rPr>
        <w:t>第二次阿富汗战争（1878-1881年）加强了英国向山区领土的推进，1893年，印度政府外交大臣莫蒂默-杜兰爵士就英属印度和阿富汗之间的边界（“杜兰线”）进行了谈判。杜兰线将以前独立的边境地区和部落划入了英国的保护领地。英国任命了政治代理人（例如在北瓦济里斯坦和南瓦济里斯坦）来保持非正式接触，并向部落首领支付津贴，试图让他们保持合作；当这一政策几乎总是失败时，英国就会调动军队。</w:t>
      </w:r>
    </w:p>
    <w:p w14:paraId="3331F5CC">
      <w:pPr>
        <w:spacing w:before="120" w:after="120" w:line="360" w:lineRule="auto"/>
        <w:ind w:firstLine="420"/>
        <w:rPr>
          <w:bCs/>
          <w:sz w:val="24"/>
          <w:szCs w:val="24"/>
        </w:rPr>
      </w:pPr>
      <w:r>
        <w:rPr>
          <w:rFonts w:hint="eastAsia"/>
          <w:bCs/>
          <w:sz w:val="24"/>
          <w:szCs w:val="24"/>
        </w:rPr>
        <w:t>寇松认为，对付边疆部族人的唯一办法是“如果他听话，就给他钱令他开心，如果他不听话，就把他打趴下”</w:t>
      </w:r>
      <w:r>
        <w:rPr>
          <w:bCs/>
          <w:sz w:val="24"/>
          <w:szCs w:val="24"/>
        </w:rPr>
        <w:t xml:space="preserve"> [Curzon, 28 June 1902, quoted in David Gilmour, Curzon, London, 1994.]</w:t>
      </w:r>
      <w:r>
        <w:rPr>
          <w:rFonts w:hint="eastAsia"/>
          <w:bCs/>
          <w:sz w:val="24"/>
          <w:szCs w:val="24"/>
        </w:rPr>
        <w:t>。它由五个地区（哈扎拉、白沙瓦、科哈特、班努和德拉伊斯梅尔汗的部分地区）以及部落管理的边境机构开伯尔、库拉姆、北瓦济里斯坦和南瓦济里斯坦组成。1902年4月，寇松出席了在白沙瓦举行的盛大典礼，正式并公开宣布了该地区的成立。与此同时，军队被撤走，取而代之的是规模较小的机动部队和被称为“卡萨达”的部落征兵。</w:t>
      </w:r>
    </w:p>
    <w:p w14:paraId="1EAF5007">
      <w:pPr>
        <w:spacing w:before="120" w:after="120" w:line="360" w:lineRule="auto"/>
        <w:ind w:firstLine="420"/>
        <w:rPr>
          <w:bCs/>
          <w:sz w:val="24"/>
          <w:szCs w:val="24"/>
        </w:rPr>
      </w:pPr>
      <w:r>
        <w:rPr>
          <w:rFonts w:hint="eastAsia"/>
          <w:bCs/>
          <w:sz w:val="24"/>
          <w:szCs w:val="24"/>
        </w:rPr>
        <w:t>部落叛乱</w:t>
      </w:r>
    </w:p>
    <w:p w14:paraId="469DE9DE">
      <w:pPr>
        <w:spacing w:before="120" w:after="120" w:line="360" w:lineRule="auto"/>
        <w:ind w:firstLine="420"/>
        <w:rPr>
          <w:bCs/>
          <w:sz w:val="24"/>
          <w:szCs w:val="24"/>
        </w:rPr>
      </w:pPr>
      <w:r>
        <w:rPr>
          <w:rFonts w:hint="eastAsia"/>
          <w:bCs/>
          <w:sz w:val="24"/>
          <w:szCs w:val="24"/>
        </w:rPr>
        <w:t>寇松的政策旨在使英国与边境地区保持更密切的联系，同时又不过多干涉当地事务。然而，部落叛乱仍在继续，第一次世界大战后，1919年又爆发了短暂的第三次阿富汗战争，印度军队在瓦济里斯坦伤亡惨重，政策讨论转向军事平定计划，同时对部落社会进行改革，并辅以经济和社会发展项目。1923年3月，印度政府外交大臣丹尼斯·布雷爵士在立法议会发表演讲，自信满满地宣布：“无论如何，都必须让文明渗透到这些人迹罕至的山区。”</w:t>
      </w:r>
      <w:r>
        <w:rPr>
          <w:sz w:val="24"/>
          <w:szCs w:val="24"/>
        </w:rPr>
        <w:t xml:space="preserve"> </w:t>
      </w:r>
      <w:r>
        <w:rPr>
          <w:bCs/>
          <w:sz w:val="24"/>
          <w:szCs w:val="24"/>
        </w:rPr>
        <w:t>[Alan Warren, Waziristan, the Faqir of Ipi, and the Indian Army. The North West Frontier Revolt of 1936–1937, London, 2000.]</w:t>
      </w:r>
    </w:p>
    <w:p w14:paraId="3321D4DF">
      <w:pPr>
        <w:spacing w:before="120" w:after="120" w:line="360" w:lineRule="auto"/>
        <w:ind w:firstLine="420"/>
        <w:rPr>
          <w:bCs/>
          <w:sz w:val="24"/>
          <w:szCs w:val="24"/>
        </w:rPr>
      </w:pPr>
      <w:r>
        <w:rPr>
          <w:rFonts w:hint="eastAsia"/>
          <w:bCs/>
          <w:sz w:val="24"/>
          <w:szCs w:val="24"/>
        </w:rPr>
        <w:t>1932年，西北边境省成为一个总督省，拥有自己的立法委员会。然而，经济和社会改革的成本太高，而且难以广泛推行。叛乱仍在继续，恐怖袭击时有发生，暗杀事件时有发生，有时大规模叛乱会持续数年。</w:t>
      </w:r>
    </w:p>
    <w:p w14:paraId="33F04614">
      <w:pPr>
        <w:spacing w:before="120" w:after="120" w:line="360" w:lineRule="auto"/>
        <w:ind w:firstLine="420"/>
        <w:rPr>
          <w:bCs/>
          <w:sz w:val="24"/>
          <w:szCs w:val="24"/>
        </w:rPr>
      </w:pPr>
      <w:r>
        <w:rPr>
          <w:rFonts w:hint="eastAsia"/>
          <w:bCs/>
          <w:sz w:val="24"/>
          <w:szCs w:val="24"/>
        </w:rPr>
        <w:t>伊皮的法基尔</w:t>
      </w:r>
    </w:p>
    <w:p w14:paraId="23BD49A7">
      <w:pPr>
        <w:spacing w:before="120" w:after="120" w:line="360" w:lineRule="auto"/>
        <w:ind w:firstLine="420"/>
        <w:rPr>
          <w:bCs/>
          <w:sz w:val="24"/>
          <w:szCs w:val="24"/>
        </w:rPr>
      </w:pPr>
      <w:r>
        <w:rPr>
          <w:rFonts w:hint="eastAsia"/>
          <w:bCs/>
          <w:sz w:val="24"/>
          <w:szCs w:val="24"/>
        </w:rPr>
        <w:t>该档案集记录了英国试图在部落领地强加“秩序”的努力。档案中的政策措施细节为该地区的当代观察家所熟知，其中描述了帝国与圣战运动的斗争，并展示了当地领导人是如何不受英国控制的。这些资料涵盖了1901年至1949年这一时期，从“西北边境省”的建立到1949年英属印度消亡后该省成为巴基斯坦的一个行政区。资料介绍了英国在不断发生的泛伊斯兰教和圣战骚乱中为保持边境“平静”所做的努力，特别是对20世纪30年代和40年代骚乱的魅力领袖伊皮的法基尔（Faqir of Ipi）的追捕未果，法基尔声称伊斯兰教处于危险之中，穆斯林不得接受非穆斯林西方人的统治，这在一定程度上吸引了大批追随者。</w:t>
      </w:r>
    </w:p>
    <w:p w14:paraId="2FBF6416">
      <w:pPr>
        <w:spacing w:before="120" w:after="120" w:line="360" w:lineRule="auto"/>
        <w:ind w:firstLine="420"/>
        <w:rPr>
          <w:bCs/>
          <w:sz w:val="24"/>
          <w:szCs w:val="24"/>
        </w:rPr>
      </w:pPr>
      <w:r>
        <w:rPr>
          <w:rFonts w:hint="eastAsia"/>
          <w:bCs/>
          <w:sz w:val="24"/>
          <w:szCs w:val="24"/>
        </w:rPr>
        <w:t>虽然法基尔的叛乱最终被镇压，但法基尔本人却继续躲避英国人的追捕。在一份档案中，1949年5月的一份报纸报道称，巴基斯坦独立后法基尔失去了控制权和影响力。不过，在一张非常罕见的法基尔照片旁边，该报道指出了法基尔挥之不去的魅力：“边疆地区的传说认为，法基尔是一个狂野、不修边幅、面容憔悴的人，他有一双深陷的火眼金睛、一头栗色的头发和用指甲花染成的火红胡须。据说，他在上战场之前总是用香水薰他的胡须；他是一个神枪手，也是一个令人生畏的骑手。除了他的追随者，很少有人见过他。”[L/P&amp;S/12/3241]</w:t>
      </w:r>
    </w:p>
    <w:p w14:paraId="5C6F605B">
      <w:pPr>
        <w:spacing w:before="120" w:after="120" w:line="360" w:lineRule="auto"/>
        <w:ind w:firstLine="420"/>
        <w:rPr>
          <w:bCs/>
          <w:sz w:val="24"/>
          <w:szCs w:val="24"/>
        </w:rPr>
      </w:pPr>
      <w:r>
        <w:rPr>
          <w:rFonts w:hint="eastAsia"/>
          <w:bCs/>
          <w:sz w:val="24"/>
          <w:szCs w:val="24"/>
        </w:rPr>
        <w:t>一位前英属印度公务员后来描述了边防特工与世隔绝生活的魅力和浪漫，本报告集中的许多报告都是他们撰写的：“政治官员可以自由地在山上追捕鹧鸪，尽可能减少谋杀；可以分享帕坦人的广博故事，享受客人的那份葡萄干和开心果馅的点心；可以竖起耳朵，每天冒着被狂热分子的刀子或子弹击中的危险。”</w:t>
      </w:r>
      <w:r>
        <w:rPr>
          <w:bCs/>
          <w:sz w:val="24"/>
          <w:szCs w:val="24"/>
        </w:rPr>
        <w:t xml:space="preserve"> [Philip Mason, The Men who Ruled India, London, 1985.]</w:t>
      </w:r>
    </w:p>
    <w:p w14:paraId="37D05E06">
      <w:pPr>
        <w:spacing w:before="120" w:after="120" w:line="360" w:lineRule="auto"/>
        <w:ind w:firstLine="420"/>
        <w:rPr>
          <w:bCs/>
          <w:sz w:val="24"/>
          <w:szCs w:val="24"/>
        </w:rPr>
      </w:pPr>
      <w:r>
        <w:rPr>
          <w:rFonts w:hint="eastAsia"/>
          <w:bCs/>
          <w:sz w:val="24"/>
          <w:szCs w:val="24"/>
        </w:rPr>
        <w:t>出处和档案背景</w:t>
      </w:r>
    </w:p>
    <w:p w14:paraId="4FB3D349">
      <w:pPr>
        <w:spacing w:before="120" w:after="120" w:line="360" w:lineRule="auto"/>
        <w:ind w:firstLine="420"/>
        <w:rPr>
          <w:bCs/>
          <w:sz w:val="24"/>
          <w:szCs w:val="24"/>
        </w:rPr>
      </w:pPr>
      <w:r>
        <w:rPr>
          <w:rFonts w:hint="eastAsia"/>
          <w:bCs/>
          <w:sz w:val="24"/>
          <w:szCs w:val="24"/>
        </w:rPr>
        <w:t>在英属印度时期，处理外交关系和边境事务的重任落在了外交部和政治部身上。这两个部门会将收集到的信息汇报给位于伦敦的印度办事处政治和秘密部门。在那里，相关部门会对政策进行细致的审查，并将所有的报告和通信文件归档，以便将来查阅和研究。政治和秘密部档案是大英图书馆东方和印度办事处藏品（OIOC，现为亚洲、太平洋和非洲藏品的一部分）的一部分。政治和秘密部的文件和档案资料已编入OIOC编目L/PS下。从1902年起，政治和秘密部的重要信件和文件都被登记、编制索引并按主题装订成册，现在这些主题文件被归入编目L/P&amp;S/10。大约在1930/1931年，该部门用新的“档案集”系列取代了主题档案系统，按照地理区域排列。这些资料现在编目为L/P&amp;S/12。该系列中的资料主要来自主题档案（L/P&amp;S/10）和随后的L/P&amp;S/12系列的“档案集23号”（西北边疆）。</w:t>
      </w:r>
    </w:p>
    <w:p w14:paraId="40BD7FD2">
      <w:pPr>
        <w:spacing w:before="120" w:after="120" w:line="360" w:lineRule="auto"/>
        <w:ind w:firstLine="420"/>
        <w:rPr>
          <w:bCs/>
          <w:sz w:val="24"/>
          <w:szCs w:val="24"/>
        </w:rPr>
      </w:pPr>
      <w:r>
        <w:rPr>
          <w:rFonts w:hint="eastAsia"/>
          <w:bCs/>
          <w:sz w:val="24"/>
          <w:szCs w:val="24"/>
        </w:rPr>
        <w:t>与军事部和印度办事处其他部门一样，政治和保密部也有自己的参考图书馆，收藏机密手册和报告，仅供本部门官员使用。第一部分印刷报告（“</w:t>
      </w:r>
      <w:r>
        <w:rPr>
          <w:bCs/>
          <w:sz w:val="24"/>
          <w:szCs w:val="24"/>
        </w:rPr>
        <w:t>Memoranda of Information”</w:t>
      </w:r>
      <w:r>
        <w:rPr>
          <w:rFonts w:hint="eastAsia"/>
          <w:bCs/>
          <w:sz w:val="24"/>
          <w:szCs w:val="24"/>
        </w:rPr>
        <w:t>）现已编入L/P&amp;S/20。</w:t>
      </w:r>
    </w:p>
    <w:p w14:paraId="40DD6F22">
      <w:pPr>
        <w:spacing w:before="120" w:after="120" w:line="360" w:lineRule="auto"/>
        <w:ind w:firstLine="420"/>
        <w:rPr>
          <w:bCs/>
          <w:sz w:val="24"/>
          <w:szCs w:val="24"/>
        </w:rPr>
      </w:pPr>
      <w:r>
        <w:rPr>
          <w:rFonts w:hint="eastAsia"/>
          <w:bCs/>
          <w:sz w:val="24"/>
          <w:szCs w:val="24"/>
        </w:rPr>
        <w:t>日记</w:t>
      </w:r>
    </w:p>
    <w:p w14:paraId="09FD4F03">
      <w:pPr>
        <w:spacing w:before="120" w:after="120" w:line="360" w:lineRule="auto"/>
        <w:ind w:firstLine="420"/>
        <w:rPr>
          <w:bCs/>
          <w:sz w:val="24"/>
          <w:szCs w:val="24"/>
        </w:rPr>
      </w:pPr>
      <w:r>
        <w:rPr>
          <w:rFonts w:hint="eastAsia"/>
          <w:bCs/>
          <w:sz w:val="24"/>
          <w:szCs w:val="24"/>
        </w:rPr>
        <w:t>收集的内容包括所有边境地区边防特工的详细秘密报告，通常每周提交一次。此外，还有白沙瓦情报局编写的情报审查和摘要。这些报告的地域范围很广。例如，到20世纪20年代，英国政府每周都会收到关于瓦济里斯坦、白沙瓦、德拉伊斯梅尔汗、科哈特、哈扎拉和开伯尔河谷事件的日记。此外，许多西北边境地区的情报报告都包含了有关阿富汗和中亚地区的信息。</w:t>
      </w:r>
    </w:p>
    <w:p w14:paraId="214791E5">
      <w:pPr>
        <w:pStyle w:val="15"/>
        <w:spacing w:line="360" w:lineRule="auto"/>
        <w:ind w:left="0"/>
        <w:contextualSpacing w:val="0"/>
        <w:rPr>
          <w:color w:val="000000" w:themeColor="text1"/>
          <w:sz w:val="24"/>
          <w:szCs w:val="24"/>
          <w14:textFill>
            <w14:solidFill>
              <w14:schemeClr w14:val="tx1"/>
            </w14:solidFill>
          </w14:textFill>
        </w:rPr>
      </w:pPr>
      <w:r>
        <w:rPr>
          <w:rFonts w:hint="eastAsia"/>
          <w:bCs/>
          <w:sz w:val="24"/>
          <w:szCs w:val="24"/>
        </w:rPr>
        <w:t>这里介绍的资料是对相关档案集《英国关于阿富汗及其边境的情报，约1888-1946年》的增补，从英国与阿富汗关系的角度出发，集中介绍了阿富汗的内部和外部事务以及跨边境的部落和人员。还包括印刷手册和地名词典，其中许多为西北边境文集中的档案和报告提供了有用的地形和军事背景资料。</w:t>
      </w:r>
    </w:p>
    <w:p w14:paraId="5E8F3318">
      <w:pPr>
        <w:pStyle w:val="2"/>
        <w:rPr>
          <w:rFonts w:ascii="Georgia" w:hAnsi="Georgia"/>
          <w:color w:val="005329"/>
          <w:spacing w:val="-12"/>
        </w:rPr>
      </w:pPr>
      <w:bookmarkStart w:id="17" w:name="_Toc14721"/>
      <w:r>
        <w:rPr>
          <w:rFonts w:ascii="Georgia" w:hAnsi="Georgia"/>
          <w:color w:val="005329"/>
          <w:spacing w:val="-12"/>
        </w:rPr>
        <w:t>14.</w:t>
      </w:r>
      <w:r>
        <w:t xml:space="preserve"> </w:t>
      </w:r>
      <w:r>
        <w:rPr>
          <w:rFonts w:hint="eastAsia"/>
        </w:rPr>
        <w:t>英国关于也门的情报档案， 1880-1967年</w:t>
      </w:r>
      <w:bookmarkEnd w:id="17"/>
    </w:p>
    <w:p w14:paraId="62724F62">
      <w:pPr>
        <w:widowControl/>
        <w:wordWrap w:val="0"/>
        <w:spacing w:line="360" w:lineRule="auto"/>
        <w:ind w:firstLine="480"/>
        <w:textAlignment w:val="baseline"/>
        <w:rPr>
          <w:rFonts w:eastAsia="宋体"/>
          <w:sz w:val="24"/>
          <w:szCs w:val="24"/>
        </w:rPr>
      </w:pPr>
      <w:r>
        <w:rPr>
          <w:rFonts w:ascii="inherit" w:hAnsi="inherit" w:eastAsia="宋体" w:cs="宋体"/>
          <w:b/>
          <w:bCs/>
          <w:color w:val="555555"/>
          <w:kern w:val="0"/>
          <w:sz w:val="24"/>
          <w:szCs w:val="24"/>
        </w:rPr>
        <w:t>数据库网址：</w:t>
      </w:r>
      <w:r>
        <w:rPr>
          <w:rFonts w:eastAsia="宋体"/>
          <w:sz w:val="24"/>
          <w:szCs w:val="24"/>
        </w:rPr>
        <w:fldChar w:fldCharType="begin"/>
      </w:r>
      <w:r>
        <w:rPr>
          <w:rFonts w:eastAsia="宋体"/>
          <w:sz w:val="24"/>
          <w:szCs w:val="24"/>
        </w:rPr>
        <w:instrText xml:space="preserve"> HYPERLINK "https://www.degruyter.com/database/YEM/html" </w:instrText>
      </w:r>
      <w:r>
        <w:rPr>
          <w:rFonts w:eastAsia="宋体"/>
          <w:sz w:val="24"/>
          <w:szCs w:val="24"/>
        </w:rPr>
        <w:fldChar w:fldCharType="separate"/>
      </w:r>
      <w:r>
        <w:rPr>
          <w:rStyle w:val="12"/>
          <w:rFonts w:eastAsia="宋体"/>
          <w:sz w:val="24"/>
          <w:szCs w:val="24"/>
        </w:rPr>
        <w:t>https://www.degruyter.com/database/YEM/html</w:t>
      </w:r>
      <w:r>
        <w:rPr>
          <w:rFonts w:eastAsia="宋体"/>
          <w:sz w:val="24"/>
          <w:szCs w:val="24"/>
        </w:rPr>
        <w:fldChar w:fldCharType="end"/>
      </w:r>
    </w:p>
    <w:p w14:paraId="72BB5A67">
      <w:pPr>
        <w:widowControl/>
        <w:wordWrap w:val="0"/>
        <w:spacing w:line="360" w:lineRule="auto"/>
        <w:ind w:firstLine="480"/>
        <w:textAlignment w:val="baseline"/>
        <w:rPr>
          <w:rFonts w:hint="eastAsia" w:ascii="inherit" w:hAnsi="inherit" w:eastAsia="宋体" w:cs="宋体"/>
          <w:b/>
          <w:bCs/>
          <w:color w:val="555555"/>
          <w:kern w:val="0"/>
          <w:sz w:val="24"/>
          <w:szCs w:val="24"/>
        </w:rPr>
      </w:pPr>
      <w:r>
        <w:rPr>
          <w:rFonts w:ascii="inherit" w:hAnsi="inherit" w:eastAsia="宋体" w:cs="宋体"/>
          <w:b/>
          <w:bCs/>
          <w:color w:val="555555"/>
          <w:kern w:val="0"/>
          <w:sz w:val="24"/>
          <w:szCs w:val="24"/>
        </w:rPr>
        <w:t xml:space="preserve">数据库简介： </w:t>
      </w:r>
    </w:p>
    <w:p w14:paraId="5D4737C1">
      <w:pPr>
        <w:spacing w:before="120" w:after="120" w:line="360" w:lineRule="auto"/>
        <w:ind w:firstLine="420"/>
        <w:rPr>
          <w:bCs/>
          <w:sz w:val="24"/>
          <w:szCs w:val="24"/>
        </w:rPr>
      </w:pPr>
      <w:r>
        <w:rPr>
          <w:rFonts w:hint="eastAsia"/>
          <w:bCs/>
          <w:sz w:val="24"/>
          <w:szCs w:val="24"/>
        </w:rPr>
        <w:t>也门共和国在阿拉伯半岛的地缘政治和经济版图中扮演着日益重要的角色，其影响力也扩展到了更广泛的中东乃至全球关系中。这个年轻的国家是在1990年由阿拉伯也门共和国和也门民主人民共和国合并而成的。从具有战略意义的南部港口和红海岛屿，到阿拉伯西南部的沿海平原、山脉和肥沃的高地，再延伸至鲁卜哈利沙漠空旷地带和阿拉伯东南部的油田，构成了也门广袤的国土。</w:t>
      </w:r>
    </w:p>
    <w:p w14:paraId="1032D7E2">
      <w:pPr>
        <w:spacing w:before="120" w:after="120" w:line="360" w:lineRule="auto"/>
        <w:ind w:firstLine="420"/>
        <w:rPr>
          <w:bCs/>
          <w:sz w:val="24"/>
          <w:szCs w:val="24"/>
        </w:rPr>
      </w:pPr>
      <w:r>
        <w:rPr>
          <w:rFonts w:hint="eastAsia"/>
          <w:bCs/>
          <w:sz w:val="24"/>
          <w:szCs w:val="24"/>
        </w:rPr>
        <w:t>在统一之前，"两个耶路撒冷"毗邻共存，边界模糊，政治体制迥异。自1839年起就在亚丁定居的英国人决心将其影响力扩展到亚丁腹地的周边地区。1937年亚丁成为殖民地后，英国的统治得到了巩固，并通过发展特定的保护地行政管理进一步扩大，其秘书处设在亚丁，英国保护地官员在亚丁西部和东部保护地担任地方职务。20世纪30年代，经过漫长而曲折的谈判，1934年缔结了《萨那条约》，巩固了英国与也门的关系。然而，自第二次世界大战爆发以来，英国对其他欧洲列强（尤其是意大利）在也门的影响力日益关注。</w:t>
      </w:r>
    </w:p>
    <w:p w14:paraId="0990BABE">
      <w:pPr>
        <w:spacing w:before="120" w:after="120" w:line="360" w:lineRule="auto"/>
        <w:ind w:firstLine="420"/>
        <w:rPr>
          <w:bCs/>
          <w:sz w:val="24"/>
          <w:szCs w:val="24"/>
        </w:rPr>
      </w:pPr>
      <w:r>
        <w:rPr>
          <w:rFonts w:hint="eastAsia"/>
          <w:bCs/>
          <w:sz w:val="24"/>
          <w:szCs w:val="24"/>
        </w:rPr>
        <w:t>从1940年到1967年英国从阿拉伯南部撤出，英国官员一直试图在自己的管理范围内巩固权力和影响力，同时收集有关独立也门的信息并与之保持良好关系。</w:t>
      </w:r>
    </w:p>
    <w:p w14:paraId="1058C300">
      <w:pPr>
        <w:spacing w:before="120" w:after="120" w:line="360" w:lineRule="auto"/>
        <w:ind w:firstLine="420"/>
        <w:rPr>
          <w:bCs/>
          <w:sz w:val="24"/>
          <w:szCs w:val="24"/>
        </w:rPr>
      </w:pPr>
      <w:r>
        <w:rPr>
          <w:rFonts w:hint="eastAsia"/>
          <w:bCs/>
          <w:sz w:val="24"/>
          <w:szCs w:val="24"/>
        </w:rPr>
        <w:t>亚丁档案</w:t>
      </w:r>
    </w:p>
    <w:p w14:paraId="383D7E6A">
      <w:pPr>
        <w:spacing w:before="120" w:after="120" w:line="360" w:lineRule="auto"/>
        <w:ind w:firstLine="420"/>
        <w:rPr>
          <w:bCs/>
          <w:sz w:val="24"/>
          <w:szCs w:val="24"/>
        </w:rPr>
      </w:pPr>
      <w:r>
        <w:rPr>
          <w:rFonts w:hint="eastAsia"/>
          <w:bCs/>
          <w:sz w:val="24"/>
          <w:szCs w:val="24"/>
        </w:rPr>
        <w:t>亚丁档案（现为大英图书馆亚洲、太平洋和非洲馆藏的一部分）是1839-1967年英国撤军期间英国在亚丁历届政府的档案。它们是该地区国际活动以及当地政治、社会和商业发展的独特信息来源。该档案库中复制的藏品包括机密、绝密和机密文件、印刷和打字版的报告和手册、地图、备忘录和情报报告。</w:t>
      </w:r>
    </w:p>
    <w:p w14:paraId="2A2770D1">
      <w:pPr>
        <w:spacing w:before="120" w:after="120" w:line="360" w:lineRule="auto"/>
        <w:ind w:firstLine="420"/>
        <w:rPr>
          <w:bCs/>
          <w:sz w:val="24"/>
          <w:szCs w:val="24"/>
        </w:rPr>
      </w:pPr>
      <w:r>
        <w:rPr>
          <w:rFonts w:hint="eastAsia"/>
          <w:bCs/>
          <w:sz w:val="24"/>
          <w:szCs w:val="24"/>
        </w:rPr>
        <w:t>石油特许权</w:t>
      </w:r>
    </w:p>
    <w:p w14:paraId="31E82FCB">
      <w:pPr>
        <w:spacing w:line="360" w:lineRule="auto"/>
        <w:rPr>
          <w:bCs/>
          <w:sz w:val="24"/>
          <w:szCs w:val="24"/>
        </w:rPr>
      </w:pPr>
      <w:r>
        <w:rPr>
          <w:rFonts w:hint="eastAsia"/>
          <w:bCs/>
          <w:sz w:val="24"/>
          <w:szCs w:val="24"/>
        </w:rPr>
        <w:t>涵盖的主题包括边界和石油特许权谈判，包括原始条约和特许权协议以及英国政府内部秘密政策文件。继第一次世界大战前的第一次重大英土边界谈判之后，报告、地图、协议和外交信函一直持续到20世纪30年代，当时阿拉伯半岛的石油特许权争夺成为该地区最主要的经济和外交问题。与此同时，当地的英国官员定期报告阿拉伯西南部不断变化的权力平衡，以及阿西尔的赛义德·伊德里斯、也门伊玛目和沙特国王阿卜杜勒·阿齐兹·萨乌德之间的利益冲突，最终导致1930年沙特吞并阿西尔和1934年《塔伊夫条约》的签订。本档案库中还介绍了随后关于独立也门、亚丁保护国和沙特阿拉伯王国之间划界的谈判。此外，旅行者和特工的定期报告提供了有关整个地区地形、社会、部落和宗教生活以及主要人物的广泛而独特的情报信息。</w:t>
      </w:r>
    </w:p>
    <w:p w14:paraId="5C25EA28">
      <w:pPr>
        <w:pStyle w:val="2"/>
        <w:rPr>
          <w:rFonts w:ascii="Georgia" w:hAnsi="Georgia"/>
          <w:color w:val="005329"/>
          <w:spacing w:val="-12"/>
        </w:rPr>
      </w:pPr>
      <w:bookmarkStart w:id="18" w:name="_Toc9943"/>
      <w:r>
        <w:rPr>
          <w:rFonts w:ascii="Georgia" w:hAnsi="Georgia"/>
          <w:color w:val="005329"/>
          <w:spacing w:val="-12"/>
        </w:rPr>
        <w:t>15.</w:t>
      </w:r>
      <w:r>
        <w:rPr>
          <w:rFonts w:hint="eastAsia"/>
        </w:rPr>
        <w:t xml:space="preserve"> 划分英属缅甸， 1826-1949年</w:t>
      </w:r>
      <w:bookmarkEnd w:id="18"/>
    </w:p>
    <w:p w14:paraId="70D38A25">
      <w:pPr>
        <w:widowControl/>
        <w:wordWrap w:val="0"/>
        <w:spacing w:line="360" w:lineRule="auto"/>
        <w:ind w:firstLine="480"/>
        <w:textAlignment w:val="baseline"/>
        <w:rPr>
          <w:rFonts w:eastAsia="宋体"/>
          <w:bCs/>
          <w:sz w:val="24"/>
          <w:szCs w:val="24"/>
        </w:rPr>
      </w:pPr>
      <w:r>
        <w:rPr>
          <w:rFonts w:ascii="inherit" w:hAnsi="inherit" w:eastAsia="宋体" w:cs="宋体"/>
          <w:b/>
          <w:bCs/>
          <w:color w:val="555555"/>
          <w:kern w:val="0"/>
          <w:sz w:val="24"/>
          <w:szCs w:val="24"/>
        </w:rPr>
        <w:t>数据库网址：</w:t>
      </w:r>
      <w:r>
        <w:rPr>
          <w:rFonts w:eastAsia="宋体"/>
          <w:bCs/>
          <w:sz w:val="24"/>
          <w:szCs w:val="24"/>
        </w:rPr>
        <w:fldChar w:fldCharType="begin"/>
      </w:r>
      <w:r>
        <w:rPr>
          <w:rFonts w:eastAsia="宋体"/>
          <w:bCs/>
          <w:sz w:val="24"/>
          <w:szCs w:val="24"/>
        </w:rPr>
        <w:instrText xml:space="preserve"> HYPERLINK "https://www.degruyter.com/database/burm/html" </w:instrText>
      </w:r>
      <w:r>
        <w:rPr>
          <w:rFonts w:eastAsia="宋体"/>
          <w:bCs/>
          <w:sz w:val="24"/>
          <w:szCs w:val="24"/>
        </w:rPr>
        <w:fldChar w:fldCharType="separate"/>
      </w:r>
      <w:r>
        <w:rPr>
          <w:rStyle w:val="12"/>
          <w:rFonts w:eastAsia="宋体"/>
          <w:bCs/>
          <w:sz w:val="24"/>
          <w:szCs w:val="24"/>
        </w:rPr>
        <w:t>https://www.degruyter.com/database/burm/html</w:t>
      </w:r>
      <w:r>
        <w:rPr>
          <w:rFonts w:eastAsia="宋体"/>
          <w:bCs/>
          <w:sz w:val="24"/>
          <w:szCs w:val="24"/>
        </w:rPr>
        <w:fldChar w:fldCharType="end"/>
      </w:r>
    </w:p>
    <w:p w14:paraId="1AB65FEB">
      <w:pPr>
        <w:widowControl/>
        <w:wordWrap w:val="0"/>
        <w:spacing w:line="360" w:lineRule="auto"/>
        <w:ind w:firstLine="480"/>
        <w:textAlignment w:val="baseline"/>
        <w:rPr>
          <w:rFonts w:hint="eastAsia" w:ascii="inherit" w:hAnsi="inherit" w:eastAsia="宋体" w:cs="宋体"/>
          <w:bCs/>
          <w:color w:val="FF0000"/>
          <w:kern w:val="0"/>
          <w:sz w:val="24"/>
          <w:szCs w:val="24"/>
        </w:rPr>
      </w:pPr>
      <w:r>
        <w:rPr>
          <w:rFonts w:ascii="inherit" w:hAnsi="inherit" w:eastAsia="宋体" w:cs="宋体"/>
          <w:b/>
          <w:bCs/>
          <w:color w:val="555555"/>
          <w:kern w:val="0"/>
          <w:sz w:val="24"/>
          <w:szCs w:val="24"/>
        </w:rPr>
        <w:t xml:space="preserve">数据库简介： </w:t>
      </w:r>
    </w:p>
    <w:p w14:paraId="31DE1953">
      <w:pPr>
        <w:spacing w:before="120" w:after="120" w:line="360" w:lineRule="auto"/>
        <w:ind w:firstLine="420"/>
        <w:rPr>
          <w:bCs/>
          <w:sz w:val="24"/>
          <w:szCs w:val="24"/>
        </w:rPr>
      </w:pPr>
      <w:r>
        <w:rPr>
          <w:rFonts w:hint="eastAsia"/>
          <w:bCs/>
          <w:sz w:val="24"/>
          <w:szCs w:val="24"/>
        </w:rPr>
        <w:t>本官方和机密档案在线合集详细记录了英国吞并缅甸的三个阶段，展现了信息收集、编纂和传播的漫长过程。它囊括了情报部门对英属印度接壤各邦的例行调查，以及一套独一无二的、涵盖英属缅甸各地区、各邦及其边界的完整地名词典和报告。</w:t>
      </w:r>
    </w:p>
    <w:p w14:paraId="307E5028">
      <w:pPr>
        <w:spacing w:before="120" w:after="120" w:line="360" w:lineRule="auto"/>
        <w:ind w:firstLine="420"/>
        <w:rPr>
          <w:b/>
          <w:sz w:val="24"/>
          <w:szCs w:val="24"/>
        </w:rPr>
      </w:pPr>
      <w:r>
        <w:rPr>
          <w:rFonts w:hint="eastAsia"/>
          <w:b/>
          <w:sz w:val="24"/>
          <w:szCs w:val="24"/>
        </w:rPr>
        <w:t>三场战争</w:t>
      </w:r>
    </w:p>
    <w:p w14:paraId="78D5E18C">
      <w:pPr>
        <w:spacing w:before="120" w:after="120" w:line="360" w:lineRule="auto"/>
        <w:ind w:firstLine="420"/>
        <w:rPr>
          <w:bCs/>
          <w:sz w:val="24"/>
          <w:szCs w:val="24"/>
        </w:rPr>
      </w:pPr>
      <w:r>
        <w:rPr>
          <w:rFonts w:hint="eastAsia"/>
          <w:bCs/>
          <w:sz w:val="24"/>
          <w:szCs w:val="24"/>
        </w:rPr>
        <w:t>本系列从1824年至1826年、1852年至1854年和1885年至1886年三次战争的当代记载和官方历史开始。第一次战争结束后，阿萨姆、阿拉干和</w:t>
      </w:r>
      <w:r>
        <w:rPr>
          <w:sz w:val="24"/>
          <w:szCs w:val="24"/>
        </w:rPr>
        <w:fldChar w:fldCharType="begin"/>
      </w:r>
      <w:r>
        <w:rPr>
          <w:sz w:val="24"/>
          <w:szCs w:val="24"/>
        </w:rPr>
        <w:instrText xml:space="preserve"> HYPERLINK "https://baike.baidu.com/item/%E4%B8%B9%E9%82%A3%E6%B2%99%E6%9E%97/12774890?fromModule=lemma_inlink" \t "_blank" </w:instrText>
      </w:r>
      <w:r>
        <w:rPr>
          <w:sz w:val="24"/>
          <w:szCs w:val="24"/>
        </w:rPr>
        <w:fldChar w:fldCharType="separate"/>
      </w:r>
      <w:r>
        <w:rPr>
          <w:bCs/>
          <w:sz w:val="24"/>
          <w:szCs w:val="24"/>
        </w:rPr>
        <w:t>丹那沙林</w:t>
      </w:r>
      <w:r>
        <w:rPr>
          <w:bCs/>
          <w:sz w:val="24"/>
          <w:szCs w:val="24"/>
        </w:rPr>
        <w:fldChar w:fldCharType="end"/>
      </w:r>
      <w:r>
        <w:rPr>
          <w:rFonts w:hint="eastAsia"/>
          <w:bCs/>
          <w:sz w:val="24"/>
          <w:szCs w:val="24"/>
        </w:rPr>
        <w:t>被并入东印度公司的势力范围。阿萨姆并未成为英属缅甸的一部分，而阿拉干则移交给了孟加拉政府，</w:t>
      </w:r>
      <w:r>
        <w:fldChar w:fldCharType="begin"/>
      </w:r>
      <w:r>
        <w:instrText xml:space="preserve"> HYPERLINK "https://baike.baidu.com/item/%E4%B8%B9%E9%82%A3%E6%B2%99%E6%9E%97/12774890?fromModule=lemma_inlink" \t "_blank" </w:instrText>
      </w:r>
      <w:r>
        <w:fldChar w:fldCharType="separate"/>
      </w:r>
      <w:r>
        <w:rPr>
          <w:bCs/>
          <w:sz w:val="24"/>
          <w:szCs w:val="24"/>
        </w:rPr>
        <w:t>丹那沙林</w:t>
      </w:r>
      <w:r>
        <w:rPr>
          <w:bCs/>
          <w:sz w:val="24"/>
          <w:szCs w:val="24"/>
        </w:rPr>
        <w:fldChar w:fldCharType="end"/>
      </w:r>
      <w:r>
        <w:rPr>
          <w:rFonts w:hint="eastAsia"/>
          <w:bCs/>
          <w:sz w:val="24"/>
          <w:szCs w:val="24"/>
        </w:rPr>
        <w:t>则由加尔各答总督直接控制。</w:t>
      </w:r>
    </w:p>
    <w:p w14:paraId="403AC1F4">
      <w:pPr>
        <w:spacing w:before="120" w:after="120" w:line="360" w:lineRule="auto"/>
        <w:ind w:firstLine="420"/>
        <w:rPr>
          <w:bCs/>
          <w:sz w:val="24"/>
          <w:szCs w:val="24"/>
        </w:rPr>
      </w:pPr>
      <w:r>
        <w:rPr>
          <w:rFonts w:hint="eastAsia"/>
          <w:bCs/>
          <w:sz w:val="24"/>
          <w:szCs w:val="24"/>
        </w:rPr>
        <w:t>第二次世界大战后，东印度公司吞并了勃固和马塔潘，控制了整个下缅甸。1862年，</w:t>
      </w:r>
      <w:r>
        <w:rPr>
          <w:sz w:val="24"/>
          <w:szCs w:val="24"/>
        </w:rPr>
        <w:fldChar w:fldCharType="begin"/>
      </w:r>
      <w:r>
        <w:rPr>
          <w:sz w:val="24"/>
          <w:szCs w:val="24"/>
        </w:rPr>
        <w:instrText xml:space="preserve"> HYPERLINK "https://baike.baidu.com/item/%E4%B8%B9%E9%82%A3%E6%B2%99%E6%9E%97/12774890?fromModule=lemma_inlink" \t "_blank" </w:instrText>
      </w:r>
      <w:r>
        <w:rPr>
          <w:sz w:val="24"/>
          <w:szCs w:val="24"/>
        </w:rPr>
        <w:fldChar w:fldCharType="separate"/>
      </w:r>
      <w:r>
        <w:rPr>
          <w:bCs/>
          <w:sz w:val="24"/>
          <w:szCs w:val="24"/>
        </w:rPr>
        <w:t>丹那沙林</w:t>
      </w:r>
      <w:r>
        <w:rPr>
          <w:bCs/>
          <w:sz w:val="24"/>
          <w:szCs w:val="24"/>
        </w:rPr>
        <w:fldChar w:fldCharType="end"/>
      </w:r>
      <w:r>
        <w:rPr>
          <w:rFonts w:hint="eastAsia"/>
          <w:bCs/>
          <w:sz w:val="24"/>
          <w:szCs w:val="24"/>
        </w:rPr>
        <w:t>、勃固和马塔潘组成了英属缅甸，成为英属印度的一个新省，每个省都有一名专员对仰光的首席专员负责，首席专员直接对总督负责。当时，尚且独立的缅甸是一个内陆国家，不断从南方受到英国人的压力，尤其是那些寻找进入中国新路线的商业利益集团。</w:t>
      </w:r>
    </w:p>
    <w:p w14:paraId="292F7E7D">
      <w:pPr>
        <w:spacing w:before="120" w:after="120" w:line="360" w:lineRule="auto"/>
        <w:ind w:firstLine="420"/>
        <w:rPr>
          <w:b/>
          <w:sz w:val="24"/>
          <w:szCs w:val="24"/>
        </w:rPr>
      </w:pPr>
      <w:r>
        <w:rPr>
          <w:rFonts w:hint="eastAsia"/>
          <w:b/>
          <w:sz w:val="24"/>
          <w:szCs w:val="24"/>
        </w:rPr>
        <w:t>新领土</w:t>
      </w:r>
    </w:p>
    <w:p w14:paraId="1E145AE0">
      <w:pPr>
        <w:spacing w:before="120" w:after="120" w:line="360" w:lineRule="auto"/>
        <w:ind w:firstLine="420"/>
        <w:rPr>
          <w:bCs/>
          <w:sz w:val="24"/>
          <w:szCs w:val="24"/>
        </w:rPr>
      </w:pPr>
      <w:r>
        <w:rPr>
          <w:rFonts w:hint="eastAsia"/>
          <w:bCs/>
          <w:sz w:val="24"/>
          <w:szCs w:val="24"/>
        </w:rPr>
        <w:t>1886年1月1日，英属缅甸省最终吞并了缅甸王国，因此面积扩大了一倍多，尽管零星的战斗一直持续到1889年。新领土被划分为四个专员公署，而勃固也同时被一分为二，英属缅甸现在由八个专员公署组成，由首席专员领导，并在仰光设立了一个日益完善的行政秘书处。</w:t>
      </w:r>
    </w:p>
    <w:p w14:paraId="0DEF1892">
      <w:pPr>
        <w:spacing w:before="120" w:after="120" w:line="360" w:lineRule="auto"/>
        <w:ind w:firstLine="420"/>
        <w:rPr>
          <w:bCs/>
          <w:sz w:val="24"/>
          <w:szCs w:val="24"/>
        </w:rPr>
      </w:pPr>
      <w:r>
        <w:rPr>
          <w:rFonts w:hint="eastAsia"/>
          <w:bCs/>
          <w:sz w:val="24"/>
          <w:szCs w:val="24"/>
        </w:rPr>
        <w:t>1897年，缅甸总督被副总督取代，由立法委员会协助副总督工作，这使得缅甸首次在英国统治下颁布了专门的缅甸法律。从1923年1月2日起，一系列职能（但不包括国防和对外关系等）下放给缅甸政府。</w:t>
      </w:r>
    </w:p>
    <w:p w14:paraId="288E60AC">
      <w:pPr>
        <w:spacing w:before="120" w:after="120" w:line="360" w:lineRule="auto"/>
        <w:ind w:firstLine="420"/>
        <w:rPr>
          <w:bCs/>
          <w:sz w:val="24"/>
          <w:szCs w:val="24"/>
        </w:rPr>
      </w:pPr>
      <w:r>
        <w:rPr>
          <w:rFonts w:hint="eastAsia"/>
          <w:bCs/>
          <w:sz w:val="24"/>
          <w:szCs w:val="24"/>
        </w:rPr>
        <w:t>1937年4月1日生效的新宪法结束了缅甸对印度的从属关系。宪法设立了参议院（其中一半由总督提名）和民选众议院。总督现在不听命于印度，而是听命于伦敦的缅甸首相（尽管该职位总由印度首相担任）。</w:t>
      </w:r>
    </w:p>
    <w:p w14:paraId="791F72D5">
      <w:pPr>
        <w:spacing w:before="120" w:after="120" w:line="360" w:lineRule="auto"/>
        <w:ind w:firstLine="420"/>
        <w:rPr>
          <w:bCs/>
          <w:sz w:val="24"/>
          <w:szCs w:val="24"/>
        </w:rPr>
      </w:pPr>
      <w:r>
        <w:rPr>
          <w:rFonts w:hint="eastAsia"/>
          <w:bCs/>
          <w:sz w:val="24"/>
          <w:szCs w:val="24"/>
        </w:rPr>
        <w:t>日本入侵期间，政府中的英国人和印度人撤退到印度，并在西姆拉成立了缅甸流亡政府。该政府于1945年10月返回缅甸，却发现缅甸民族主义者已经掌权。1948年1月4日，英国统治正式结束，缅甸成为一个独立的共和国。</w:t>
      </w:r>
    </w:p>
    <w:p w14:paraId="4685591A">
      <w:pPr>
        <w:spacing w:before="120" w:after="120" w:line="360" w:lineRule="auto"/>
        <w:ind w:firstLine="420"/>
        <w:rPr>
          <w:b/>
          <w:sz w:val="24"/>
          <w:szCs w:val="24"/>
        </w:rPr>
      </w:pPr>
      <w:r>
        <w:rPr>
          <w:rFonts w:hint="eastAsia"/>
          <w:b/>
          <w:sz w:val="24"/>
          <w:szCs w:val="24"/>
        </w:rPr>
        <w:t>领土划界</w:t>
      </w:r>
    </w:p>
    <w:p w14:paraId="04B820E0">
      <w:pPr>
        <w:spacing w:before="120" w:after="120" w:line="360" w:lineRule="auto"/>
        <w:ind w:firstLine="420"/>
        <w:rPr>
          <w:bCs/>
          <w:sz w:val="24"/>
          <w:szCs w:val="24"/>
        </w:rPr>
      </w:pPr>
      <w:r>
        <w:rPr>
          <w:rFonts w:hint="eastAsia"/>
          <w:bCs/>
          <w:sz w:val="24"/>
          <w:szCs w:val="24"/>
        </w:rPr>
        <w:t>1879年出版的第一部普通地名词典仅涵盖下缅甸。1883年的第二部地名词典则涵盖了下缅甸和尚且独立的缅甸，随后在1900-1901年又出版了一部大型地名词典（3000页），其中也包括掸邦。此外，还有西姆拉流亡政府为战时使用而发行的手册和地名词典。</w:t>
      </w:r>
    </w:p>
    <w:p w14:paraId="26D1F077">
      <w:pPr>
        <w:spacing w:before="120" w:after="120" w:line="360" w:lineRule="auto"/>
        <w:ind w:firstLine="420"/>
        <w:rPr>
          <w:bCs/>
          <w:sz w:val="24"/>
          <w:szCs w:val="24"/>
        </w:rPr>
      </w:pPr>
      <w:r>
        <w:rPr>
          <w:rFonts w:hint="eastAsia"/>
          <w:bCs/>
          <w:sz w:val="24"/>
          <w:szCs w:val="24"/>
        </w:rPr>
        <w:t>军事报告和路线手册由印度军事总部情报处编制，后来由东南亚司令部编制。路线手册于1903年首次发行，分为四个部分，即北部、东北部、西部、南部和掸邦。在战时发行的版本中，标有C、D、G、H、L和M的路线尚存。</w:t>
      </w:r>
    </w:p>
    <w:p w14:paraId="5F02DCD2">
      <w:pPr>
        <w:spacing w:before="120" w:after="120" w:line="360" w:lineRule="auto"/>
        <w:ind w:firstLine="420"/>
        <w:rPr>
          <w:bCs/>
          <w:sz w:val="24"/>
          <w:szCs w:val="24"/>
        </w:rPr>
      </w:pPr>
      <w:r>
        <w:rPr>
          <w:rFonts w:hint="eastAsia"/>
          <w:bCs/>
          <w:sz w:val="24"/>
          <w:szCs w:val="24"/>
        </w:rPr>
        <w:t>英属缅甸划界的尝试始于1826年第一次领土兼并之后，但直到19世纪90年代才形成国际协议。档案集收录了1892年至1893年英国-暹罗委员会、1894年至1896年</w:t>
      </w:r>
      <w:r>
        <w:rPr>
          <w:rFonts w:ascii="Helvetica" w:hAnsi="Helvetica"/>
          <w:color w:val="333333"/>
          <w:sz w:val="24"/>
          <w:szCs w:val="24"/>
          <w:shd w:val="clear" w:color="auto" w:fill="FFFFFF"/>
        </w:rPr>
        <w:t>奄哈士</w:t>
      </w:r>
      <w:r>
        <w:rPr>
          <w:rFonts w:hint="eastAsia"/>
          <w:bCs/>
          <w:sz w:val="24"/>
          <w:szCs w:val="24"/>
        </w:rPr>
        <w:t>（即丹那沙林）-暹罗委员会、1894年至1899年缅甸-中国委员会以及1935年至1936年中英委员会的秘密机密报告。</w:t>
      </w:r>
    </w:p>
    <w:p w14:paraId="0BDE4B18">
      <w:pPr>
        <w:spacing w:before="120" w:after="120" w:line="360" w:lineRule="auto"/>
        <w:ind w:firstLine="420"/>
        <w:rPr>
          <w:bCs/>
          <w:sz w:val="24"/>
          <w:szCs w:val="24"/>
        </w:rPr>
      </w:pPr>
      <w:r>
        <w:rPr>
          <w:bCs/>
          <w:sz w:val="24"/>
          <w:szCs w:val="24"/>
        </w:rPr>
        <w:t>《缅甸地名词典》由当地官员精心编纂</w:t>
      </w:r>
      <w:r>
        <w:rPr>
          <w:rFonts w:hint="eastAsia"/>
          <w:bCs/>
          <w:sz w:val="24"/>
          <w:szCs w:val="24"/>
        </w:rPr>
        <w:t>，</w:t>
      </w:r>
      <w:r>
        <w:rPr>
          <w:bCs/>
          <w:sz w:val="24"/>
          <w:szCs w:val="24"/>
        </w:rPr>
        <w:t>以厚重的多卷本形式，详尽描绘了二十世纪初英属缅甸</w:t>
      </w:r>
      <w:r>
        <w:rPr>
          <w:rFonts w:hint="eastAsia"/>
          <w:bCs/>
          <w:sz w:val="24"/>
          <w:szCs w:val="24"/>
        </w:rPr>
        <w:t>的情况</w:t>
      </w:r>
      <w:r>
        <w:rPr>
          <w:bCs/>
          <w:sz w:val="24"/>
          <w:szCs w:val="24"/>
        </w:rPr>
        <w:t>。这部地名词典分为A和B两</w:t>
      </w:r>
      <w:r>
        <w:rPr>
          <w:rFonts w:hint="eastAsia"/>
          <w:bCs/>
          <w:sz w:val="24"/>
          <w:szCs w:val="24"/>
        </w:rPr>
        <w:t>部分</w:t>
      </w:r>
      <w:r>
        <w:rPr>
          <w:bCs/>
          <w:sz w:val="24"/>
          <w:szCs w:val="24"/>
        </w:rPr>
        <w:t>，A</w:t>
      </w:r>
      <w:r>
        <w:rPr>
          <w:rFonts w:hint="eastAsia"/>
          <w:bCs/>
          <w:sz w:val="24"/>
          <w:szCs w:val="24"/>
        </w:rPr>
        <w:t>部分</w:t>
      </w:r>
      <w:r>
        <w:rPr>
          <w:bCs/>
          <w:sz w:val="24"/>
          <w:szCs w:val="24"/>
        </w:rPr>
        <w:t>汇集了各地区的历史、地理、行政和经济等方面的深入专著，B</w:t>
      </w:r>
      <w:r>
        <w:rPr>
          <w:rFonts w:hint="eastAsia"/>
          <w:bCs/>
          <w:sz w:val="24"/>
          <w:szCs w:val="24"/>
        </w:rPr>
        <w:t>部分</w:t>
      </w:r>
      <w:r>
        <w:rPr>
          <w:bCs/>
          <w:sz w:val="24"/>
          <w:szCs w:val="24"/>
        </w:rPr>
        <w:t>则收录了详尽的统计表格</w:t>
      </w:r>
      <w:r>
        <w:rPr>
          <w:rFonts w:hint="eastAsia"/>
          <w:bCs/>
          <w:sz w:val="24"/>
          <w:szCs w:val="24"/>
        </w:rPr>
        <w:t>。</w:t>
      </w:r>
      <w:r>
        <w:rPr>
          <w:bCs/>
          <w:sz w:val="24"/>
          <w:szCs w:val="24"/>
        </w:rPr>
        <w:t>A</w:t>
      </w:r>
      <w:r>
        <w:rPr>
          <w:rFonts w:hint="eastAsia"/>
          <w:bCs/>
          <w:sz w:val="24"/>
          <w:szCs w:val="24"/>
        </w:rPr>
        <w:t>部分仅对应</w:t>
      </w:r>
      <w:r>
        <w:rPr>
          <w:bCs/>
          <w:sz w:val="24"/>
          <w:szCs w:val="24"/>
        </w:rPr>
        <w:t>26个地区</w:t>
      </w:r>
      <w:r>
        <w:rPr>
          <w:rFonts w:hint="eastAsia"/>
          <w:bCs/>
          <w:sz w:val="24"/>
          <w:szCs w:val="24"/>
        </w:rPr>
        <w:t>，</w:t>
      </w:r>
      <w:r>
        <w:rPr>
          <w:bCs/>
          <w:sz w:val="24"/>
          <w:szCs w:val="24"/>
        </w:rPr>
        <w:t>在1910至1935年间编纂完成。B</w:t>
      </w:r>
      <w:r>
        <w:rPr>
          <w:rFonts w:hint="eastAsia"/>
          <w:bCs/>
          <w:sz w:val="24"/>
          <w:szCs w:val="24"/>
        </w:rPr>
        <w:t>部分</w:t>
      </w:r>
      <w:r>
        <w:rPr>
          <w:bCs/>
          <w:sz w:val="24"/>
          <w:szCs w:val="24"/>
        </w:rPr>
        <w:t>的统计表格则分为三个版本，分别在1901年、1911年和1921年的人口普查之后出版。这些包括：1906</w:t>
      </w:r>
      <w:r>
        <w:rPr>
          <w:rFonts w:hint="eastAsia"/>
          <w:bCs/>
          <w:sz w:val="24"/>
          <w:szCs w:val="24"/>
        </w:rPr>
        <w:t>年至</w:t>
      </w:r>
      <w:r>
        <w:rPr>
          <w:bCs/>
          <w:sz w:val="24"/>
          <w:szCs w:val="24"/>
        </w:rPr>
        <w:t>1907年的36卷（不包括中国山区、掸邦和克伦尼邦）；1912</w:t>
      </w:r>
      <w:r>
        <w:rPr>
          <w:rFonts w:hint="eastAsia"/>
          <w:bCs/>
          <w:sz w:val="24"/>
          <w:szCs w:val="24"/>
        </w:rPr>
        <w:t>年至</w:t>
      </w:r>
      <w:r>
        <w:rPr>
          <w:bCs/>
          <w:sz w:val="24"/>
          <w:szCs w:val="24"/>
        </w:rPr>
        <w:t>1913年的42卷，编号1至42；以及1924</w:t>
      </w:r>
      <w:r>
        <w:rPr>
          <w:rFonts w:hint="eastAsia"/>
          <w:bCs/>
          <w:sz w:val="24"/>
          <w:szCs w:val="24"/>
        </w:rPr>
        <w:t>年至</w:t>
      </w:r>
      <w:r>
        <w:rPr>
          <w:bCs/>
          <w:sz w:val="24"/>
          <w:szCs w:val="24"/>
        </w:rPr>
        <w:t>1925年的42卷，编号1至43（</w:t>
      </w:r>
      <w:r>
        <w:rPr>
          <w:rFonts w:hint="eastAsia"/>
          <w:bCs/>
          <w:sz w:val="24"/>
          <w:szCs w:val="24"/>
        </w:rPr>
        <w:t>未收录</w:t>
      </w:r>
      <w:r>
        <w:rPr>
          <w:bCs/>
          <w:sz w:val="24"/>
          <w:szCs w:val="24"/>
        </w:rPr>
        <w:t>1912年</w:t>
      </w:r>
      <w:r>
        <w:rPr>
          <w:rFonts w:hint="eastAsia"/>
          <w:bCs/>
          <w:sz w:val="24"/>
          <w:szCs w:val="24"/>
        </w:rPr>
        <w:t>版本</w:t>
      </w:r>
      <w:r>
        <w:rPr>
          <w:bCs/>
          <w:sz w:val="24"/>
          <w:szCs w:val="24"/>
        </w:rPr>
        <w:t>的第5卷《仰光》）。此外，</w:t>
      </w:r>
      <w:r>
        <w:rPr>
          <w:rFonts w:hint="eastAsia"/>
          <w:bCs/>
          <w:sz w:val="24"/>
          <w:szCs w:val="24"/>
        </w:rPr>
        <w:t>B</w:t>
      </w:r>
      <w:r>
        <w:rPr>
          <w:bCs/>
          <w:sz w:val="24"/>
          <w:szCs w:val="24"/>
        </w:rPr>
        <w:t>部分还包括一些与特定地区或邦相关的其他作品，这些作品</w:t>
      </w:r>
      <w:r>
        <w:rPr>
          <w:rFonts w:hint="eastAsia"/>
          <w:bCs/>
          <w:sz w:val="24"/>
          <w:szCs w:val="24"/>
        </w:rPr>
        <w:t>不在</w:t>
      </w:r>
      <w:r>
        <w:rPr>
          <w:bCs/>
          <w:sz w:val="24"/>
          <w:szCs w:val="24"/>
        </w:rPr>
        <w:t>《缅甸地名词典》</w:t>
      </w:r>
      <w:r>
        <w:rPr>
          <w:rFonts w:hint="eastAsia"/>
          <w:bCs/>
          <w:sz w:val="24"/>
          <w:szCs w:val="24"/>
        </w:rPr>
        <w:t>之</w:t>
      </w:r>
      <w:r>
        <w:rPr>
          <w:bCs/>
          <w:sz w:val="24"/>
          <w:szCs w:val="24"/>
        </w:rPr>
        <w:t>列。</w:t>
      </w:r>
    </w:p>
    <w:p w14:paraId="69F39349">
      <w:pPr>
        <w:spacing w:before="120" w:after="120" w:line="360" w:lineRule="auto"/>
        <w:ind w:firstLine="420"/>
        <w:rPr>
          <w:b/>
          <w:sz w:val="24"/>
          <w:szCs w:val="24"/>
        </w:rPr>
      </w:pPr>
      <w:r>
        <w:rPr>
          <w:rFonts w:hint="eastAsia"/>
          <w:b/>
          <w:sz w:val="24"/>
          <w:szCs w:val="24"/>
        </w:rPr>
        <w:t>出处和历史背景</w:t>
      </w:r>
    </w:p>
    <w:p w14:paraId="406640DE">
      <w:pPr>
        <w:spacing w:before="120" w:after="120" w:line="360" w:lineRule="auto"/>
        <w:ind w:firstLine="420"/>
        <w:rPr>
          <w:bCs/>
          <w:sz w:val="24"/>
          <w:szCs w:val="24"/>
        </w:rPr>
      </w:pPr>
      <w:r>
        <w:rPr>
          <w:rFonts w:hint="eastAsia"/>
          <w:bCs/>
          <w:sz w:val="24"/>
          <w:szCs w:val="24"/>
        </w:rPr>
        <w:t>本系列档案中各种秘密、机密或仅供官方使用的文件存放于两个内部参考图书馆中，分别位于1947年前的伦敦印度办、事处军事部（L/MIL/17）和政治与保密部（L/P&amp;S/20）。这些资料既有来自印度军事情报部门的，也有来自缅甸政府的。根据保管规则规定，一旦某部文件更新版本，所有旧版本都会受命销毁。因此，这些档案文件现存数量极为稀少。大英图书馆印度办公室记录中的藏品在广度和可访问性方面都是独一无二的。</w:t>
      </w:r>
    </w:p>
    <w:p w14:paraId="7985498F">
      <w:pPr>
        <w:spacing w:before="120" w:after="120" w:line="360" w:lineRule="auto"/>
        <w:ind w:firstLine="420"/>
        <w:rPr>
          <w:bCs/>
          <w:sz w:val="24"/>
          <w:szCs w:val="24"/>
        </w:rPr>
      </w:pPr>
      <w:r>
        <w:rPr>
          <w:rFonts w:hint="eastAsia"/>
          <w:bCs/>
          <w:sz w:val="24"/>
          <w:szCs w:val="24"/>
        </w:rPr>
        <w:t>非机密文件（</w:t>
      </w:r>
      <w:r>
        <w:rPr>
          <w:bCs/>
          <w:sz w:val="24"/>
          <w:szCs w:val="24"/>
        </w:rPr>
        <w:t>V/27</w:t>
      </w:r>
      <w:r>
        <w:rPr>
          <w:rFonts w:hint="eastAsia"/>
          <w:bCs/>
          <w:sz w:val="24"/>
          <w:szCs w:val="24"/>
        </w:rPr>
        <w:t>），主要是各卷《缅甸地名词典》，是印度办事处登记和记录部管理的大量官方出版物的一部分。</w:t>
      </w:r>
      <w:r>
        <w:rPr>
          <w:bCs/>
          <w:sz w:val="24"/>
          <w:szCs w:val="24"/>
        </w:rPr>
        <w:t>1947-1948</w:t>
      </w:r>
      <w:r>
        <w:rPr>
          <w:rFonts w:hint="eastAsia"/>
          <w:bCs/>
          <w:sz w:val="24"/>
          <w:szCs w:val="24"/>
        </w:rPr>
        <w:t>年印度、巴基斯坦和缅甸独立后，伦敦印度办事处的所有部门都并入了英联邦关系办公室（后来的外交和联邦事务部）。1982年，这些藏书和档案被转移到大英图书馆，如今已成为图书馆东方和印度事务部馆藏的一部分。</w:t>
      </w:r>
    </w:p>
    <w:p w14:paraId="33F96B38">
      <w:pPr>
        <w:pStyle w:val="2"/>
        <w:rPr>
          <w:rFonts w:ascii="Georgia" w:hAnsi="Georgia"/>
          <w:color w:val="005329"/>
          <w:spacing w:val="-12"/>
        </w:rPr>
      </w:pPr>
      <w:bookmarkStart w:id="19" w:name="_Toc12826"/>
      <w:r>
        <w:rPr>
          <w:rFonts w:ascii="Georgia" w:hAnsi="Georgia"/>
          <w:color w:val="005329"/>
          <w:spacing w:val="-12"/>
        </w:rPr>
        <w:t xml:space="preserve">16. </w:t>
      </w:r>
      <w:r>
        <w:rPr>
          <w:rFonts w:hint="eastAsia"/>
        </w:rPr>
        <w:t>印度政治情报文件，1912-1950年</w:t>
      </w:r>
      <w:bookmarkEnd w:id="19"/>
    </w:p>
    <w:p w14:paraId="0880DF65">
      <w:pPr>
        <w:widowControl/>
        <w:wordWrap w:val="0"/>
        <w:spacing w:line="360" w:lineRule="auto"/>
        <w:ind w:firstLine="480"/>
        <w:textAlignment w:val="baseline"/>
        <w:rPr>
          <w:rFonts w:eastAsia="宋体"/>
          <w:bCs/>
          <w:sz w:val="24"/>
          <w:szCs w:val="24"/>
        </w:rPr>
      </w:pPr>
      <w:r>
        <w:rPr>
          <w:rFonts w:ascii="inherit" w:hAnsi="inherit" w:eastAsia="宋体" w:cs="宋体"/>
          <w:b/>
          <w:bCs/>
          <w:color w:val="555555"/>
          <w:kern w:val="0"/>
          <w:sz w:val="24"/>
          <w:szCs w:val="24"/>
        </w:rPr>
        <w:t>数据库网址：</w:t>
      </w:r>
      <w:r>
        <w:rPr>
          <w:rFonts w:eastAsia="宋体"/>
          <w:bCs/>
          <w:sz w:val="24"/>
          <w:szCs w:val="24"/>
        </w:rPr>
        <w:fldChar w:fldCharType="begin"/>
      </w:r>
      <w:r>
        <w:rPr>
          <w:rFonts w:eastAsia="宋体"/>
          <w:bCs/>
          <w:sz w:val="24"/>
          <w:szCs w:val="24"/>
        </w:rPr>
        <w:instrText xml:space="preserve"> HYPERLINK "https://www.degruyter.com/database/ipi/html" </w:instrText>
      </w:r>
      <w:r>
        <w:rPr>
          <w:rFonts w:eastAsia="宋体"/>
          <w:bCs/>
          <w:sz w:val="24"/>
          <w:szCs w:val="24"/>
        </w:rPr>
        <w:fldChar w:fldCharType="separate"/>
      </w:r>
      <w:r>
        <w:rPr>
          <w:rStyle w:val="12"/>
          <w:rFonts w:eastAsia="宋体"/>
          <w:bCs/>
          <w:sz w:val="24"/>
          <w:szCs w:val="24"/>
        </w:rPr>
        <w:t>https://www.degruyter.com/database/ipi/html</w:t>
      </w:r>
      <w:r>
        <w:rPr>
          <w:rFonts w:eastAsia="宋体"/>
          <w:bCs/>
          <w:sz w:val="24"/>
          <w:szCs w:val="24"/>
        </w:rPr>
        <w:fldChar w:fldCharType="end"/>
      </w:r>
    </w:p>
    <w:p w14:paraId="11D114E5">
      <w:pPr>
        <w:widowControl/>
        <w:wordWrap w:val="0"/>
        <w:spacing w:line="360" w:lineRule="auto"/>
        <w:ind w:firstLine="480"/>
        <w:textAlignment w:val="baseline"/>
        <w:rPr>
          <w:rFonts w:hint="eastAsia" w:ascii="inherit" w:hAnsi="inherit" w:eastAsia="宋体" w:cs="宋体"/>
          <w:bCs/>
          <w:color w:val="FF0000"/>
          <w:kern w:val="0"/>
          <w:sz w:val="24"/>
          <w:szCs w:val="24"/>
        </w:rPr>
      </w:pPr>
      <w:r>
        <w:rPr>
          <w:rFonts w:ascii="inherit" w:hAnsi="inherit" w:eastAsia="宋体" w:cs="宋体"/>
          <w:b/>
          <w:bCs/>
          <w:color w:val="555555"/>
          <w:kern w:val="0"/>
          <w:sz w:val="24"/>
          <w:szCs w:val="24"/>
        </w:rPr>
        <w:t xml:space="preserve">数据库简介： </w:t>
      </w:r>
    </w:p>
    <w:p w14:paraId="00AE1171">
      <w:pPr>
        <w:spacing w:before="120" w:after="120" w:line="360" w:lineRule="auto"/>
        <w:ind w:firstLine="420"/>
        <w:rPr>
          <w:bCs/>
          <w:sz w:val="24"/>
          <w:szCs w:val="24"/>
        </w:rPr>
      </w:pPr>
      <w:r>
        <w:rPr>
          <w:rFonts w:hint="eastAsia"/>
          <w:bCs/>
          <w:sz w:val="24"/>
          <w:szCs w:val="24"/>
        </w:rPr>
        <w:t>印度政治情报局（IPI）是伦敦印度事务部下属的一个机构，专门负责监控那些企图破坏英国印度政府的活动。这些档案中最早的一批已经封存了近一个世纪，直到1997年才解密。在印度历史上这段特别动荡的时期，这些档案成为了研究英国殖民时期革命运动的独特原始资料。</w:t>
      </w:r>
    </w:p>
    <w:p w14:paraId="30DFC3D7">
      <w:pPr>
        <w:spacing w:before="120" w:after="120" w:line="360" w:lineRule="auto"/>
        <w:ind w:firstLine="420"/>
        <w:rPr>
          <w:b/>
          <w:sz w:val="24"/>
          <w:szCs w:val="24"/>
        </w:rPr>
      </w:pPr>
      <w:r>
        <w:rPr>
          <w:rFonts w:hint="eastAsia"/>
          <w:b/>
          <w:sz w:val="24"/>
          <w:szCs w:val="24"/>
        </w:rPr>
        <w:t>背景介绍</w:t>
      </w:r>
    </w:p>
    <w:p w14:paraId="1368D3E5">
      <w:pPr>
        <w:spacing w:before="120" w:after="120" w:line="360" w:lineRule="auto"/>
        <w:ind w:firstLine="420"/>
        <w:rPr>
          <w:bCs/>
          <w:sz w:val="24"/>
          <w:szCs w:val="24"/>
        </w:rPr>
      </w:pPr>
      <w:r>
        <w:rPr>
          <w:rFonts w:hint="eastAsia"/>
          <w:bCs/>
          <w:sz w:val="24"/>
          <w:szCs w:val="24"/>
        </w:rPr>
        <w:t>20世纪初，印度日益加剧的动乱与居住在英国的印度人的政治活动之间联系密切。1905年，印度发生了第一起针对英国官员的爆炸和暗杀事件，随后不久，伦敦、巴黎和北美也出现了印度革命组织。1908年，苏格兰场特别分局接到命令，对英国境内的印度颠覆分子进行监视，并于1909年7月成立了印度分局。</w:t>
      </w:r>
    </w:p>
    <w:p w14:paraId="3795AD6E">
      <w:pPr>
        <w:spacing w:before="120" w:after="120" w:line="360" w:lineRule="auto"/>
        <w:ind w:firstLine="420"/>
        <w:rPr>
          <w:bCs/>
          <w:sz w:val="24"/>
          <w:szCs w:val="24"/>
        </w:rPr>
      </w:pPr>
      <w:r>
        <w:rPr>
          <w:rFonts w:hint="eastAsia"/>
          <w:bCs/>
          <w:sz w:val="24"/>
          <w:szCs w:val="24"/>
        </w:rPr>
        <w:t>印度政治情报局的建立始于</w:t>
      </w:r>
      <w:r>
        <w:rPr>
          <w:bCs/>
          <w:sz w:val="24"/>
          <w:szCs w:val="24"/>
        </w:rPr>
        <w:t>J.A.</w:t>
      </w:r>
      <w:r>
        <w:rPr>
          <w:rFonts w:hint="eastAsia"/>
          <w:bCs/>
          <w:sz w:val="24"/>
          <w:szCs w:val="24"/>
        </w:rPr>
        <w:t>沃林格少校从印度警察局派往伦敦印度事务部。印度政治情报局的任务是“监视英国和欧洲影响印度利益的反英阴谋”。它通过印度办公室的公共和司法部门向印度国务大臣报告，并通过内政部情报局向印度政府报告。1939年后，IPI的利益逐渐扩大到包括德国、意大利和日本外国人在印度的活动。各种支持独立的运动都受到了渗透和监视，其中包括印度国际委员会和印度联盟。1947年印度独立后，印度政治情报局解散。</w:t>
      </w:r>
    </w:p>
    <w:p w14:paraId="042B1DC2">
      <w:pPr>
        <w:spacing w:before="120" w:after="120" w:line="360" w:lineRule="auto"/>
        <w:ind w:firstLine="420"/>
        <w:rPr>
          <w:b/>
          <w:sz w:val="24"/>
          <w:szCs w:val="24"/>
        </w:rPr>
      </w:pPr>
      <w:r>
        <w:rPr>
          <w:rFonts w:hint="eastAsia"/>
          <w:b/>
          <w:sz w:val="24"/>
          <w:szCs w:val="24"/>
        </w:rPr>
        <w:t>目录</w:t>
      </w:r>
    </w:p>
    <w:p w14:paraId="05214D88">
      <w:pPr>
        <w:spacing w:before="120" w:after="120" w:line="360" w:lineRule="auto"/>
        <w:ind w:firstLine="420"/>
        <w:rPr>
          <w:bCs/>
          <w:sz w:val="24"/>
          <w:szCs w:val="24"/>
        </w:rPr>
      </w:pPr>
      <w:r>
        <w:rPr>
          <w:rFonts w:hint="eastAsia"/>
          <w:bCs/>
          <w:sz w:val="24"/>
          <w:szCs w:val="24"/>
        </w:rPr>
        <w:t>国际和平研究所的档案库珍藏了大量早先难以获得的资料，这些资料详细记录了那些被认为威胁英属印度的组织和个人的监控情况。其中包括军情五处、军情六处和苏格兰场特别处的监视报告和截获情报，以及丰富的情报摘要和立场文件。虽然这些档案的主要目的是反对共产主义，但各种民族主义运动的支持者也同样受到了严密的监控。</w:t>
      </w:r>
    </w:p>
    <w:p w14:paraId="69A81AC4">
      <w:pPr>
        <w:spacing w:before="120" w:after="120" w:line="360" w:lineRule="auto"/>
        <w:ind w:firstLine="420"/>
        <w:rPr>
          <w:bCs/>
          <w:sz w:val="24"/>
          <w:szCs w:val="24"/>
        </w:rPr>
      </w:pPr>
      <w:r>
        <w:rPr>
          <w:rFonts w:hint="eastAsia"/>
          <w:bCs/>
          <w:sz w:val="24"/>
          <w:szCs w:val="24"/>
        </w:rPr>
        <w:t>国际和平研究所还保存了这一时期大多数著名活动家和政治人物的档案，其中包括甘地以及苏巴斯·钱德拉·博斯、贾瓦哈拉尔·尼赫鲁和V.J.帕特尔。他们的每一个行动都被详细记录，他们的通信被仔细查阅，他们的出版物也被逐一审阅，以搜寻任何可能的颠覆性言论。此外，还有80多份关于印度审查制度的独立档案，为研究者提供了宝贵的第一手资料。</w:t>
      </w:r>
    </w:p>
    <w:p w14:paraId="7117D287">
      <w:pPr>
        <w:spacing w:before="120" w:after="120" w:line="360" w:lineRule="auto"/>
        <w:ind w:firstLine="420"/>
        <w:rPr>
          <w:b/>
          <w:sz w:val="24"/>
          <w:szCs w:val="24"/>
        </w:rPr>
      </w:pPr>
      <w:r>
        <w:rPr>
          <w:rFonts w:hint="eastAsia"/>
          <w:b/>
          <w:sz w:val="24"/>
          <w:szCs w:val="24"/>
        </w:rPr>
        <w:t>特点</w:t>
      </w:r>
    </w:p>
    <w:p w14:paraId="39F47284">
      <w:pPr>
        <w:spacing w:before="120" w:after="120" w:line="360" w:lineRule="auto"/>
        <w:ind w:firstLine="420"/>
        <w:rPr>
          <w:bCs/>
          <w:sz w:val="24"/>
          <w:szCs w:val="24"/>
        </w:rPr>
      </w:pPr>
      <w:r>
        <w:rPr>
          <w:rFonts w:hint="eastAsia"/>
          <w:bCs/>
          <w:sz w:val="24"/>
          <w:szCs w:val="24"/>
        </w:rPr>
        <w:t>- 印度独立党档案是研究独立前印度革命运动——以及这些运动从英国、欧洲、苏联和北美获得的支持——的重要原始资料。</w:t>
      </w:r>
      <w:r>
        <w:rPr>
          <w:bCs/>
          <w:sz w:val="24"/>
          <w:szCs w:val="24"/>
        </w:rPr>
        <w:t>这些档案</w:t>
      </w:r>
      <w:r>
        <w:rPr>
          <w:rFonts w:hint="eastAsia"/>
          <w:bCs/>
          <w:sz w:val="24"/>
          <w:szCs w:val="24"/>
        </w:rPr>
        <w:t>为读者了解伦敦如何看待和评价这些运动提供了新的视角。</w:t>
      </w:r>
    </w:p>
    <w:p w14:paraId="71D9F3F6">
      <w:pPr>
        <w:spacing w:before="120" w:after="120" w:line="360" w:lineRule="auto"/>
        <w:ind w:firstLine="420"/>
        <w:rPr>
          <w:bCs/>
          <w:sz w:val="24"/>
          <w:szCs w:val="24"/>
        </w:rPr>
      </w:pPr>
      <w:r>
        <w:rPr>
          <w:rFonts w:hint="eastAsia"/>
          <w:bCs/>
          <w:sz w:val="24"/>
          <w:szCs w:val="24"/>
        </w:rPr>
        <w:t>- 该档案包含有关政治活动家和各种“颠覆”运动的保密资料。</w:t>
      </w:r>
    </w:p>
    <w:p w14:paraId="5171258B">
      <w:pPr>
        <w:spacing w:before="120" w:after="120" w:line="360" w:lineRule="auto"/>
        <w:ind w:firstLine="420"/>
        <w:rPr>
          <w:bCs/>
          <w:sz w:val="24"/>
          <w:szCs w:val="24"/>
        </w:rPr>
      </w:pPr>
      <w:r>
        <w:rPr>
          <w:rFonts w:hint="eastAsia"/>
          <w:bCs/>
          <w:sz w:val="24"/>
          <w:szCs w:val="24"/>
        </w:rPr>
        <w:t>- 这些档案详细揭露了一个秘密情报机构的运作，记录了英国皇家统治时期最后半个世纪英国人的主要关注点。</w:t>
      </w:r>
    </w:p>
    <w:p w14:paraId="7CBA2507">
      <w:pPr>
        <w:spacing w:before="120" w:after="120" w:line="360" w:lineRule="auto"/>
        <w:ind w:firstLine="420"/>
        <w:rPr>
          <w:b/>
          <w:sz w:val="24"/>
          <w:szCs w:val="24"/>
        </w:rPr>
      </w:pPr>
      <w:r>
        <w:rPr>
          <w:rFonts w:hint="eastAsia"/>
          <w:b/>
          <w:sz w:val="24"/>
          <w:szCs w:val="24"/>
        </w:rPr>
        <w:t>出处</w:t>
      </w:r>
    </w:p>
    <w:p w14:paraId="0C2B6E17">
      <w:pPr>
        <w:spacing w:before="120" w:after="120" w:line="360" w:lineRule="auto"/>
        <w:ind w:firstLine="420"/>
        <w:rPr>
          <w:bCs/>
          <w:sz w:val="24"/>
          <w:szCs w:val="24"/>
        </w:rPr>
      </w:pPr>
      <w:r>
        <w:rPr>
          <w:rFonts w:hint="eastAsia"/>
          <w:bCs/>
          <w:sz w:val="24"/>
          <w:szCs w:val="24"/>
        </w:rPr>
        <w:t>印度事务部撤销后，这些档案被转移到印度事务部档案馆安全保管，1947年后，该档案馆先后隶属于英国政府的英联邦关系办公室、英联邦办公室以及外交和联邦事务部。1982年，当印度事务部档案在行政上移交给大英图书馆时，这些档案被外交和联邦事务部收回。在经过外交和联邦事务部敏感性审查组的审查后，这些档案被释放到公共领域，并于1998年归还给大英图书馆的东方和印度事务部馆藏。</w:t>
      </w:r>
    </w:p>
    <w:p w14:paraId="792B153C">
      <w:pPr>
        <w:spacing w:before="120" w:after="120" w:line="360" w:lineRule="auto"/>
        <w:ind w:firstLine="420"/>
        <w:rPr>
          <w:bCs/>
          <w:sz w:val="24"/>
          <w:szCs w:val="24"/>
        </w:rPr>
      </w:pPr>
      <w:r>
        <w:rPr>
          <w:rFonts w:hint="eastAsia"/>
          <w:bCs/>
          <w:sz w:val="24"/>
          <w:szCs w:val="24"/>
        </w:rPr>
        <w:t>随着印度事务部的撤销，这些珍贵的档案被转存至印度事务部档案馆保管。1947年印度独立后，该档案馆先后划归英国政府的英联邦关系办公室、英联邦办公室以及外交和联邦事务部管理。到了1982年，随着印度办公室档案在行政上被移交给大英图书馆，这些档案被外交和联邦事务部收回。经过外交和联邦事务部敏感性审查组的严格审查，这些档案最终被公开，并在1998年归还至</w:t>
      </w:r>
      <w:bookmarkStart w:id="20" w:name="_Hlk181885139"/>
      <w:r>
        <w:rPr>
          <w:rFonts w:hint="eastAsia"/>
          <w:bCs/>
          <w:sz w:val="24"/>
          <w:szCs w:val="24"/>
        </w:rPr>
        <w:t>大英图书馆东方和印度事务部馆藏</w:t>
      </w:r>
      <w:bookmarkEnd w:id="20"/>
      <w:r>
        <w:rPr>
          <w:rFonts w:hint="eastAsia"/>
          <w:bCs/>
          <w:sz w:val="24"/>
          <w:szCs w:val="24"/>
        </w:rPr>
        <w:t>，成为公众研究和学习的重要资源。</w:t>
      </w:r>
    </w:p>
    <w:p w14:paraId="04DA976F">
      <w:pPr>
        <w:spacing w:before="120" w:after="120" w:line="360" w:lineRule="auto"/>
        <w:ind w:firstLine="420"/>
        <w:rPr>
          <w:b/>
          <w:sz w:val="24"/>
          <w:szCs w:val="24"/>
        </w:rPr>
      </w:pPr>
      <w:r>
        <w:rPr>
          <w:rFonts w:hint="eastAsia"/>
          <w:b/>
          <w:sz w:val="24"/>
          <w:szCs w:val="24"/>
        </w:rPr>
        <w:t>语言</w:t>
      </w:r>
    </w:p>
    <w:p w14:paraId="63D78C9A">
      <w:pPr>
        <w:spacing w:before="120" w:after="120" w:line="360" w:lineRule="auto"/>
        <w:ind w:firstLine="420"/>
        <w:rPr>
          <w:bCs/>
          <w:sz w:val="24"/>
          <w:szCs w:val="24"/>
        </w:rPr>
      </w:pPr>
      <w:r>
        <w:rPr>
          <w:rFonts w:hint="eastAsia"/>
          <w:bCs/>
          <w:sz w:val="24"/>
          <w:szCs w:val="24"/>
        </w:rPr>
        <w:t>文本主要使用英语，但有些文件使用乌尔都语或印地语。</w:t>
      </w:r>
    </w:p>
    <w:p w14:paraId="23882AAB">
      <w:pPr>
        <w:pStyle w:val="2"/>
        <w:rPr>
          <w:rFonts w:ascii="Georgia" w:hAnsi="Georgia"/>
          <w:color w:val="005329"/>
          <w:spacing w:val="-12"/>
        </w:rPr>
      </w:pPr>
      <w:bookmarkStart w:id="21" w:name="_Toc31280"/>
      <w:r>
        <w:rPr>
          <w:rFonts w:ascii="Georgia" w:hAnsi="Georgia"/>
          <w:color w:val="005329"/>
          <w:spacing w:val="-12"/>
        </w:rPr>
        <w:t xml:space="preserve">17. </w:t>
      </w:r>
      <w:r>
        <w:rPr>
          <w:rFonts w:hint="eastAsia"/>
        </w:rPr>
        <w:t>现代伊拉克的建立，约1914年-1921年</w:t>
      </w:r>
      <w:bookmarkEnd w:id="21"/>
    </w:p>
    <w:p w14:paraId="5182AB40">
      <w:pPr>
        <w:widowControl/>
        <w:wordWrap w:val="0"/>
        <w:spacing w:line="360" w:lineRule="auto"/>
        <w:ind w:firstLine="480"/>
        <w:textAlignment w:val="baseline"/>
        <w:rPr>
          <w:rFonts w:eastAsia="宋体"/>
          <w:bCs/>
          <w:sz w:val="24"/>
          <w:szCs w:val="24"/>
        </w:rPr>
      </w:pPr>
      <w:r>
        <w:rPr>
          <w:rFonts w:ascii="inherit" w:hAnsi="inherit" w:eastAsia="宋体" w:cs="宋体"/>
          <w:b/>
          <w:bCs/>
          <w:color w:val="555555"/>
          <w:kern w:val="0"/>
          <w:sz w:val="24"/>
          <w:szCs w:val="24"/>
        </w:rPr>
        <w:t>数据库网址：</w:t>
      </w:r>
      <w:r>
        <w:rPr>
          <w:rFonts w:eastAsia="宋体"/>
          <w:bCs/>
          <w:sz w:val="24"/>
          <w:szCs w:val="24"/>
        </w:rPr>
        <w:fldChar w:fldCharType="begin"/>
      </w:r>
      <w:r>
        <w:rPr>
          <w:rFonts w:eastAsia="宋体"/>
          <w:bCs/>
          <w:sz w:val="24"/>
          <w:szCs w:val="24"/>
        </w:rPr>
        <w:instrText xml:space="preserve"> HYPERLINK "https://www.degruyter.com/database/iraq/html" </w:instrText>
      </w:r>
      <w:r>
        <w:rPr>
          <w:rFonts w:eastAsia="宋体"/>
          <w:bCs/>
          <w:sz w:val="24"/>
          <w:szCs w:val="24"/>
        </w:rPr>
        <w:fldChar w:fldCharType="separate"/>
      </w:r>
      <w:r>
        <w:rPr>
          <w:rStyle w:val="12"/>
          <w:rFonts w:eastAsia="宋体"/>
          <w:bCs/>
          <w:sz w:val="24"/>
          <w:szCs w:val="24"/>
        </w:rPr>
        <w:t>https://www.degruyter.com/database/iraq/html</w:t>
      </w:r>
      <w:r>
        <w:rPr>
          <w:rFonts w:eastAsia="宋体"/>
          <w:bCs/>
          <w:sz w:val="24"/>
          <w:szCs w:val="24"/>
        </w:rPr>
        <w:fldChar w:fldCharType="end"/>
      </w:r>
    </w:p>
    <w:p w14:paraId="5A9A7860">
      <w:pPr>
        <w:widowControl/>
        <w:wordWrap w:val="0"/>
        <w:spacing w:line="360" w:lineRule="auto"/>
        <w:ind w:firstLine="480"/>
        <w:textAlignment w:val="baseline"/>
        <w:rPr>
          <w:rFonts w:hint="eastAsia" w:ascii="inherit" w:hAnsi="inherit" w:eastAsia="宋体" w:cs="宋体"/>
          <w:bCs/>
          <w:color w:val="FF0000"/>
          <w:kern w:val="0"/>
          <w:sz w:val="24"/>
          <w:szCs w:val="24"/>
        </w:rPr>
      </w:pPr>
      <w:r>
        <w:rPr>
          <w:rFonts w:ascii="inherit" w:hAnsi="inherit" w:eastAsia="宋体" w:cs="宋体"/>
          <w:b/>
          <w:bCs/>
          <w:color w:val="555555"/>
          <w:kern w:val="0"/>
          <w:sz w:val="24"/>
          <w:szCs w:val="24"/>
        </w:rPr>
        <w:t xml:space="preserve">数据库简介： </w:t>
      </w:r>
    </w:p>
    <w:p w14:paraId="1D72E52C">
      <w:pPr>
        <w:spacing w:before="120" w:after="120" w:line="360" w:lineRule="auto"/>
        <w:ind w:firstLine="420"/>
        <w:rPr>
          <w:bCs/>
          <w:sz w:val="24"/>
          <w:szCs w:val="24"/>
        </w:rPr>
      </w:pPr>
      <w:r>
        <w:rPr>
          <w:rFonts w:hint="eastAsia"/>
          <w:bCs/>
          <w:sz w:val="24"/>
          <w:szCs w:val="24"/>
        </w:rPr>
        <w:t>当今伊拉克的地缘政治特征可以追溯到第一次世界大战期间英国的军事占领以及英国委任统治初期建立的民政管理机构。委任统治从1921年持续到1932年伊拉克的独立。本在线原始档案库中的资料包括了印度办事处政治和秘密部的机密报告、备忘录、地图和手册，以及描述建立政治管理机构以及社会和经济基础设施的背景和实际情况的政策文件。</w:t>
      </w:r>
    </w:p>
    <w:p w14:paraId="5BCE9303">
      <w:pPr>
        <w:spacing w:before="120" w:after="120" w:line="360" w:lineRule="auto"/>
        <w:ind w:firstLine="420"/>
        <w:rPr>
          <w:b/>
          <w:sz w:val="24"/>
          <w:szCs w:val="24"/>
        </w:rPr>
      </w:pPr>
      <w:r>
        <w:rPr>
          <w:rFonts w:hint="eastAsia"/>
          <w:b/>
          <w:sz w:val="24"/>
          <w:szCs w:val="24"/>
        </w:rPr>
        <w:t>详细情报报告</w:t>
      </w:r>
    </w:p>
    <w:p w14:paraId="1EEAC59D">
      <w:pPr>
        <w:spacing w:before="120" w:after="120" w:line="360" w:lineRule="auto"/>
        <w:ind w:firstLine="420"/>
        <w:rPr>
          <w:bCs/>
          <w:sz w:val="24"/>
          <w:szCs w:val="24"/>
        </w:rPr>
      </w:pPr>
      <w:r>
        <w:rPr>
          <w:rFonts w:hint="eastAsia"/>
          <w:bCs/>
          <w:sz w:val="24"/>
          <w:szCs w:val="24"/>
        </w:rPr>
        <w:t>1914年11月5日，第一次世界大战在欧洲爆发三个月后，英国正式向德国的东方盟友土耳其宣战。11月22日，英属印度军队——印度远征军“D”（IEFD）——占领了巴士拉，并立即成立了由珀西·考克斯爵士（Sir Percy Cox）担任首席政治官的英国地方行政机构。当英印军队缓慢地向巴格达上游推进，并在库特陷入长达五个月的围困时，考克斯和一小队官员开始着手建立一个文职政府，该政府最终将扩展到奥斯曼土耳其阿拉伯的所有前领土。</w:t>
      </w:r>
    </w:p>
    <w:p w14:paraId="2FABE49D">
      <w:pPr>
        <w:spacing w:before="120" w:after="120" w:line="360" w:lineRule="auto"/>
        <w:ind w:firstLine="420"/>
        <w:rPr>
          <w:bCs/>
          <w:sz w:val="24"/>
          <w:szCs w:val="24"/>
        </w:rPr>
      </w:pPr>
      <w:r>
        <w:rPr>
          <w:rFonts w:hint="eastAsia"/>
          <w:bCs/>
          <w:sz w:val="24"/>
          <w:szCs w:val="24"/>
        </w:rPr>
        <w:t>参与这项工作的有阿诺德·威尔逊（Arnold Wilson）和雷德·布拉德（Reader Bullard），以及当时较为知名的旅行家和东方学家，包括T.E.劳伦斯（T.E. Lawrence）、格特鲁德·贝尔（Gertrude Bell）和哈里·圣约翰·菲尔比（Harry St. John Philby）。当布拉德和威尔逊等政治官员被派去管理地区行政机构时，贝尔和她的同事们则在巴士拉阿拉伯局东部分局的支持下开展工作，编写有关当地人物、部落和政治派别的详细情报报告。1917年3月，当巴格达最终被攻占时，已经升任美索不达米亚民政专员的考克斯任命格特鲁德·贝尔为他的“东方秘书”，这是政府中的重要情报职位。</w:t>
      </w:r>
    </w:p>
    <w:p w14:paraId="706E26EF">
      <w:pPr>
        <w:spacing w:before="120" w:after="120" w:line="360" w:lineRule="auto"/>
        <w:ind w:firstLine="420"/>
        <w:rPr>
          <w:b/>
          <w:sz w:val="24"/>
          <w:szCs w:val="24"/>
        </w:rPr>
      </w:pPr>
      <w:r>
        <w:rPr>
          <w:rFonts w:hint="eastAsia"/>
          <w:b/>
          <w:sz w:val="24"/>
          <w:szCs w:val="24"/>
        </w:rPr>
        <w:t>新的政府形式</w:t>
      </w:r>
    </w:p>
    <w:p w14:paraId="4CD89F1A">
      <w:pPr>
        <w:spacing w:before="120" w:after="120" w:line="360" w:lineRule="auto"/>
        <w:ind w:firstLine="420"/>
        <w:rPr>
          <w:bCs/>
          <w:sz w:val="24"/>
          <w:szCs w:val="24"/>
        </w:rPr>
      </w:pPr>
      <w:r>
        <w:rPr>
          <w:rFonts w:hint="eastAsia"/>
          <w:bCs/>
          <w:sz w:val="24"/>
          <w:szCs w:val="24"/>
        </w:rPr>
        <w:t>北部的摩苏尔直到1918年11月才被英国实际占领，但当时英国官员已经收集了大量领土信息档案，1920年4月，他们在战后圣雷莫会议上分配了这些领土。在圣雷莫会议上，英国获得授权管理新统一的伊拉克地区。同年10月，珀西·考克斯爵士被任命为驻伊拉克高级专员，被派往巴格达建立新形式的政府，以“落实王室政府承担委任责任的精神”。在1921年3月的开罗会议上，费萨尔·本·侯赛因被选为未来的国王。</w:t>
      </w:r>
    </w:p>
    <w:p w14:paraId="2D5C8116">
      <w:pPr>
        <w:spacing w:before="120" w:after="120" w:line="360" w:lineRule="auto"/>
        <w:ind w:firstLine="420"/>
        <w:rPr>
          <w:b/>
          <w:sz w:val="24"/>
          <w:szCs w:val="24"/>
        </w:rPr>
      </w:pPr>
      <w:r>
        <w:rPr>
          <w:rFonts w:hint="eastAsia"/>
          <w:b/>
          <w:sz w:val="24"/>
          <w:szCs w:val="24"/>
        </w:rPr>
        <w:t>出处和档案背景</w:t>
      </w:r>
    </w:p>
    <w:p w14:paraId="50D0FE43">
      <w:pPr>
        <w:spacing w:before="120" w:after="120" w:line="360" w:lineRule="auto"/>
        <w:ind w:firstLine="420"/>
        <w:rPr>
          <w:bCs/>
          <w:sz w:val="24"/>
          <w:szCs w:val="24"/>
        </w:rPr>
      </w:pPr>
      <w:r>
        <w:rPr>
          <w:rFonts w:hint="eastAsia"/>
          <w:bCs/>
          <w:sz w:val="24"/>
          <w:szCs w:val="24"/>
        </w:rPr>
        <w:t>第一次世界大战前，英国在土耳其阿拉伯或美索不达米亚的利益由帝国印度政府及其设在伦敦的监督机构印度办事处负责管理。在印度办事处，负责处理和监督与次大陆以外地区关系的部门是政治和秘密部。该部门的档案现在是大英图书馆东方和印度事务部馆藏（OIOC）的一部分。</w:t>
      </w:r>
    </w:p>
    <w:p w14:paraId="7CB71EF0">
      <w:pPr>
        <w:spacing w:before="120" w:after="120" w:line="360" w:lineRule="auto"/>
        <w:ind w:firstLine="420"/>
        <w:rPr>
          <w:bCs/>
          <w:sz w:val="24"/>
          <w:szCs w:val="24"/>
        </w:rPr>
      </w:pPr>
      <w:r>
        <w:rPr>
          <w:rFonts w:hint="eastAsia"/>
          <w:bCs/>
          <w:sz w:val="24"/>
          <w:szCs w:val="24"/>
        </w:rPr>
        <w:t>派驻波斯、土耳其阿拉伯和海湾地区的帝国官员，直接或间接地向伦敦的政治和秘密部以及印度的英国政府报告情况。自1902年起，在伦敦保管的最重要的部门文件被系统登记、编入索引并按主题分类整理。与此同时，政治和秘密部还建立了自己的部门参考图书馆，收藏机密手册，仅供本部门官员内部使用，军事部门和印度办事处其他部门也采取了类似的做法。政治和秘密部的文件现已编入OIOC编目的L/P&amp;S/（政治与保密部）下。</w:t>
      </w:r>
    </w:p>
    <w:p w14:paraId="182ACBC9">
      <w:pPr>
        <w:spacing w:before="120" w:after="120" w:line="360" w:lineRule="auto"/>
        <w:ind w:firstLine="420"/>
        <w:rPr>
          <w:bCs/>
          <w:sz w:val="24"/>
          <w:szCs w:val="24"/>
        </w:rPr>
      </w:pPr>
      <w:r>
        <w:rPr>
          <w:rFonts w:hint="eastAsia"/>
          <w:bCs/>
          <w:sz w:val="24"/>
          <w:szCs w:val="24"/>
        </w:rPr>
        <w:t>1921年，殖民办公室在伦敦成立了一个新的中东部门，在委任统治期间负责英国在伊拉克的政策和行政管理，印度事务部不再直接参与这个新国家的日常事务。</w:t>
      </w:r>
    </w:p>
    <w:p w14:paraId="3CD89564">
      <w:pPr>
        <w:spacing w:before="120" w:after="120" w:line="360" w:lineRule="auto"/>
        <w:ind w:firstLine="420"/>
        <w:rPr>
          <w:b/>
          <w:sz w:val="24"/>
          <w:szCs w:val="24"/>
        </w:rPr>
      </w:pPr>
      <w:r>
        <w:rPr>
          <w:rFonts w:hint="eastAsia"/>
          <w:b/>
          <w:sz w:val="24"/>
          <w:szCs w:val="24"/>
        </w:rPr>
        <w:t>档案的结构和内容</w:t>
      </w:r>
    </w:p>
    <w:p w14:paraId="6955B662">
      <w:pPr>
        <w:spacing w:before="120" w:after="120" w:line="360" w:lineRule="auto"/>
        <w:ind w:firstLine="420"/>
        <w:rPr>
          <w:bCs/>
          <w:sz w:val="24"/>
          <w:szCs w:val="24"/>
        </w:rPr>
      </w:pPr>
      <w:r>
        <w:rPr>
          <w:rFonts w:hint="eastAsia"/>
          <w:bCs/>
          <w:sz w:val="24"/>
          <w:szCs w:val="24"/>
        </w:rPr>
        <w:t>政治和机密主题档案汇集了基于机密情报报告的手册，以及官员们关于该地区政治局势、经济发展、基础设施、石油和水资源、贸易、货币、银行、陆地和河流运输、灌溉，乃至古迹和考古的详尽报告。这些档案还包括了关于建立政治管理机构、社会和经济基础设施以及未来宪法的背景资料和实际情况。官员们就宪法的性质、阿拉伯参与和自治的程度进行了深入的讨论。他们投入了大量时间和精力来发展税收、司法、市政和教育系统。同时，军事和文职专家对整个地区进行了详尽的地理和地形技术调查，覆盖了从南部与科威特和沙特阿拉伯的边界到北部的库尔德斯坦。例如，一份典型的档案可能包括伦敦或巴格达官员编写的政治备忘录、国际或部门会议记录、当地官员和专家提供的情报报告、出版报告、地图和照片。</w:t>
      </w:r>
    </w:p>
    <w:p w14:paraId="03082B2E">
      <w:pPr>
        <w:pStyle w:val="2"/>
        <w:rPr>
          <w:rFonts w:ascii="Georgia" w:hAnsi="Georgia"/>
          <w:color w:val="005329"/>
          <w:spacing w:val="-12"/>
        </w:rPr>
      </w:pPr>
      <w:bookmarkStart w:id="22" w:name="_Toc31038"/>
      <w:r>
        <w:rPr>
          <w:rFonts w:ascii="Georgia" w:hAnsi="Georgia"/>
          <w:color w:val="005329"/>
          <w:spacing w:val="-12"/>
        </w:rPr>
        <w:t xml:space="preserve">18. </w:t>
      </w:r>
      <w:r>
        <w:rPr>
          <w:rFonts w:hint="eastAsia"/>
        </w:rPr>
        <w:t>现代沙特阿拉伯的建立，约1914-1939年</w:t>
      </w:r>
      <w:bookmarkEnd w:id="22"/>
    </w:p>
    <w:p w14:paraId="0E9E00C0">
      <w:pPr>
        <w:widowControl/>
        <w:wordWrap w:val="0"/>
        <w:spacing w:line="360" w:lineRule="auto"/>
        <w:ind w:firstLine="480"/>
        <w:textAlignment w:val="baseline"/>
        <w:rPr>
          <w:rFonts w:eastAsia="宋体"/>
          <w:bCs/>
          <w:sz w:val="24"/>
          <w:szCs w:val="24"/>
        </w:rPr>
      </w:pPr>
      <w:r>
        <w:rPr>
          <w:rFonts w:ascii="inherit" w:hAnsi="inherit" w:eastAsia="宋体" w:cs="宋体"/>
          <w:b/>
          <w:bCs/>
          <w:color w:val="555555"/>
          <w:kern w:val="0"/>
          <w:sz w:val="24"/>
          <w:szCs w:val="24"/>
        </w:rPr>
        <w:t>数据库网址：</w:t>
      </w:r>
      <w:r>
        <w:rPr>
          <w:rFonts w:eastAsia="宋体"/>
          <w:bCs/>
          <w:sz w:val="24"/>
          <w:szCs w:val="24"/>
        </w:rPr>
        <w:fldChar w:fldCharType="begin"/>
      </w:r>
      <w:r>
        <w:rPr>
          <w:rFonts w:eastAsia="宋体"/>
          <w:bCs/>
          <w:sz w:val="24"/>
          <w:szCs w:val="24"/>
        </w:rPr>
        <w:instrText xml:space="preserve"> HYPERLINK "https://www.degruyter.com/database/saud/html" </w:instrText>
      </w:r>
      <w:r>
        <w:rPr>
          <w:rFonts w:eastAsia="宋体"/>
          <w:bCs/>
          <w:sz w:val="24"/>
          <w:szCs w:val="24"/>
        </w:rPr>
        <w:fldChar w:fldCharType="separate"/>
      </w:r>
      <w:r>
        <w:rPr>
          <w:rStyle w:val="12"/>
          <w:rFonts w:eastAsia="宋体"/>
          <w:bCs/>
          <w:sz w:val="24"/>
          <w:szCs w:val="24"/>
        </w:rPr>
        <w:t>https://www.degruyter.com/database/saud/html</w:t>
      </w:r>
      <w:r>
        <w:rPr>
          <w:rFonts w:eastAsia="宋体"/>
          <w:bCs/>
          <w:sz w:val="24"/>
          <w:szCs w:val="24"/>
        </w:rPr>
        <w:fldChar w:fldCharType="end"/>
      </w:r>
    </w:p>
    <w:p w14:paraId="3DE8EAF4">
      <w:pPr>
        <w:widowControl/>
        <w:wordWrap w:val="0"/>
        <w:spacing w:line="360" w:lineRule="auto"/>
        <w:ind w:firstLine="480"/>
        <w:textAlignment w:val="baseline"/>
        <w:rPr>
          <w:rFonts w:hint="eastAsia" w:ascii="inherit" w:hAnsi="inherit" w:eastAsia="宋体" w:cs="宋体"/>
          <w:bCs/>
          <w:color w:val="FF0000"/>
          <w:kern w:val="0"/>
          <w:sz w:val="24"/>
          <w:szCs w:val="24"/>
        </w:rPr>
      </w:pPr>
      <w:r>
        <w:rPr>
          <w:rFonts w:ascii="inherit" w:hAnsi="inherit" w:eastAsia="宋体" w:cs="宋体"/>
          <w:b/>
          <w:bCs/>
          <w:color w:val="555555"/>
          <w:kern w:val="0"/>
          <w:sz w:val="24"/>
          <w:szCs w:val="24"/>
        </w:rPr>
        <w:t xml:space="preserve">数据库简介： </w:t>
      </w:r>
    </w:p>
    <w:p w14:paraId="793E547F">
      <w:pPr>
        <w:spacing w:before="120" w:after="120" w:line="360" w:lineRule="auto"/>
        <w:ind w:firstLine="420"/>
        <w:rPr>
          <w:bCs/>
          <w:sz w:val="24"/>
          <w:szCs w:val="24"/>
        </w:rPr>
      </w:pPr>
      <w:r>
        <w:rPr>
          <w:rFonts w:hint="eastAsia"/>
          <w:bCs/>
          <w:sz w:val="24"/>
          <w:szCs w:val="24"/>
        </w:rPr>
        <w:t>印度事务部政治和秘密部的档案，对于深入研究沙特国家历史具有极高的参考价值。如今，这些珍贵的档案首次以数字格式完整呈现，为研究者提供了便捷的访问途径。本在线档案库收藏了有机密印刷报告、详尽的地图、备忘录和手册，以及政治和秘密部的政策文件，它们不仅勾勒出了国际关系的宏大背景，还细致记录了政治管理的扩展轨迹和社会经济基础设施的发展细节。</w:t>
      </w:r>
    </w:p>
    <w:p w14:paraId="673C96C1">
      <w:pPr>
        <w:spacing w:before="120" w:after="120" w:line="360" w:lineRule="auto"/>
        <w:ind w:firstLine="420"/>
        <w:rPr>
          <w:b/>
          <w:sz w:val="24"/>
          <w:szCs w:val="24"/>
        </w:rPr>
      </w:pPr>
      <w:r>
        <w:rPr>
          <w:rFonts w:hint="eastAsia"/>
          <w:b/>
          <w:sz w:val="24"/>
          <w:szCs w:val="24"/>
        </w:rPr>
        <w:t>历史背景</w:t>
      </w:r>
    </w:p>
    <w:p w14:paraId="1A704574">
      <w:pPr>
        <w:spacing w:before="120" w:after="120" w:line="360" w:lineRule="auto"/>
        <w:ind w:firstLine="420"/>
        <w:rPr>
          <w:bCs/>
          <w:sz w:val="24"/>
          <w:szCs w:val="24"/>
        </w:rPr>
      </w:pPr>
      <w:r>
        <w:rPr>
          <w:rFonts w:hint="eastAsia"/>
          <w:bCs/>
          <w:sz w:val="24"/>
          <w:szCs w:val="24"/>
        </w:rPr>
        <w:t>沙特阿拉伯王国于1932年由阿卜杜勒·阿齐兹·拉赫曼·费萨尔·萨乌德（伊本·萨乌德）国王正式建立。从1902年沙特占领利雅得到20世纪30年代沙特石油资源的开发和利用，英国人与沙特统治家族保持着密切的关系，他们详细记录了沙特王国从20世纪初阿拉伯中部的一个小苏丹国到第二次世界大战前夕经济实力强大的现代化国家的发展历程。</w:t>
      </w:r>
    </w:p>
    <w:p w14:paraId="602536B9">
      <w:pPr>
        <w:spacing w:before="120" w:after="120" w:line="360" w:lineRule="auto"/>
        <w:ind w:firstLine="420"/>
        <w:rPr>
          <w:b/>
          <w:sz w:val="24"/>
          <w:szCs w:val="24"/>
        </w:rPr>
      </w:pPr>
      <w:r>
        <w:rPr>
          <w:rFonts w:hint="eastAsia"/>
          <w:b/>
          <w:sz w:val="24"/>
          <w:szCs w:val="24"/>
        </w:rPr>
        <w:t>英国与沙特阿拉伯的关系</w:t>
      </w:r>
    </w:p>
    <w:p w14:paraId="0EB15145">
      <w:pPr>
        <w:spacing w:before="120" w:after="120" w:line="360" w:lineRule="auto"/>
        <w:ind w:firstLine="420"/>
        <w:rPr>
          <w:bCs/>
          <w:sz w:val="24"/>
          <w:szCs w:val="24"/>
        </w:rPr>
      </w:pPr>
      <w:r>
        <w:rPr>
          <w:rFonts w:hint="eastAsia"/>
          <w:bCs/>
          <w:sz w:val="24"/>
          <w:szCs w:val="24"/>
        </w:rPr>
        <w:t>英国在阿拉伯和海湾地区的利益源远流长，其历史可追溯至十七世纪东印度公司的早期接触。随后，基于经济和战略考量，这一地区被纳入了大英帝国在印度的政治和经济版图。英国与阿拉伯统治者的联系通常由海湾地区的政治官员和代理人来维护，他们直接向孟买、加尔各答或德里的帝国政府汇报，并最终上报至伦敦的印度办事处。英国对该地区的政策由印度办公室制定，而负责处理与印度次大陆以外地区关系的部门则是政治和秘密部。第一次世界大战后，随着外交部和殖民地办公室对阿拉伯事务的更多介入，部门的职责变得更加复杂。尽管如此，直至第二次世界大战，印度事务部在英国与阿拉伯地区的关系中仍然扮演着举足轻重的角色。</w:t>
      </w:r>
    </w:p>
    <w:p w14:paraId="4387736C">
      <w:pPr>
        <w:spacing w:before="120" w:after="120" w:line="360" w:lineRule="auto"/>
        <w:ind w:firstLine="420"/>
        <w:rPr>
          <w:b/>
          <w:sz w:val="24"/>
          <w:szCs w:val="24"/>
        </w:rPr>
      </w:pPr>
      <w:r>
        <w:rPr>
          <w:rFonts w:hint="eastAsia"/>
          <w:b/>
          <w:sz w:val="24"/>
          <w:szCs w:val="24"/>
        </w:rPr>
        <w:t>沙特国的出现</w:t>
      </w:r>
    </w:p>
    <w:p w14:paraId="3E63C848">
      <w:pPr>
        <w:spacing w:before="120" w:after="120" w:line="360" w:lineRule="auto"/>
        <w:ind w:firstLine="420"/>
        <w:rPr>
          <w:bCs/>
          <w:sz w:val="24"/>
          <w:szCs w:val="24"/>
        </w:rPr>
      </w:pPr>
      <w:r>
        <w:rPr>
          <w:rFonts w:hint="eastAsia"/>
          <w:bCs/>
          <w:sz w:val="24"/>
          <w:szCs w:val="24"/>
        </w:rPr>
        <w:t>1902年，未来的阿卜杜勒·阿齐兹·萨乌德国王（英国人称之为“伊本·萨乌德”）从海尔的伊本·拉希德家族手中夺回了利雅得城。自那以后，英国对阿拉伯中部这个变幻莫测的地区产生了浓厚的兴趣。到了1914年，英国驻科威特的政治代表W.H.I. 莎士比亚（W.H.I. Shakespear）上尉与伊本·萨乌德进行了一系列的会谈。1915年12月，随着英国与沙特签署了《达林条约》，英国开始逐步放弃了其之前不干预阿拉伯内陆政治的立场。</w:t>
      </w:r>
    </w:p>
    <w:p w14:paraId="15074807">
      <w:pPr>
        <w:spacing w:before="120" w:after="120" w:line="360" w:lineRule="auto"/>
        <w:ind w:firstLine="420"/>
        <w:rPr>
          <w:bCs/>
          <w:sz w:val="24"/>
          <w:szCs w:val="24"/>
        </w:rPr>
      </w:pPr>
      <w:r>
        <w:rPr>
          <w:rFonts w:hint="eastAsia"/>
          <w:bCs/>
          <w:sz w:val="24"/>
          <w:szCs w:val="24"/>
        </w:rPr>
        <w:t>在接下来的二十五年中，海湾地区、伦敦和印度的英国官员密切关注、记录并评估了阿拉伯政治格局的变迁。当地英国特工详细报告了第一次世界大战期间阿拉伯西南部力量对比的变化，以及沙特与也门之间的利益冲突，这些冲突最终导致沙特在1930年吞并了阿西尔地区，并在1934年的《塔伊夫条约》中明确了沙特与也门的边界。英国出于经济和战略考量，参与了沙特石油工业的发展，并且与沙特阿拉伯北部、东部和东南部边界的变迁，以及沙特南部与英国在也门南部的亚丁殖民地和保护国的边界问题密切相关。同时，英国官员和技术专家还记录了现代沙特政府在行政管理和基础设施方面的显著进步，并时常提出建设性意见。虽然英国人的记录自然是从他们自己的视角出发，但这些记录，结合公务员和军官的专业知识，以及英国人对信息的渴望，还有莎士比亚上尉、格特鲁德·贝尔和哈里·圣约翰·菲尔比等冒险家兼官员偶尔出现的分歧，为我们提供了对现代沙特国家崛起的全景细致描述。</w:t>
      </w:r>
    </w:p>
    <w:p w14:paraId="5362EE29">
      <w:pPr>
        <w:spacing w:before="120" w:after="120" w:line="360" w:lineRule="auto"/>
        <w:ind w:firstLine="420"/>
        <w:rPr>
          <w:b/>
          <w:sz w:val="24"/>
          <w:szCs w:val="24"/>
        </w:rPr>
      </w:pPr>
      <w:r>
        <w:rPr>
          <w:rFonts w:hint="eastAsia"/>
          <w:b/>
          <w:sz w:val="24"/>
          <w:szCs w:val="24"/>
        </w:rPr>
        <w:t>出处和档案背景</w:t>
      </w:r>
    </w:p>
    <w:p w14:paraId="15578EE3">
      <w:pPr>
        <w:spacing w:before="120" w:after="120" w:line="360" w:lineRule="auto"/>
        <w:ind w:firstLine="420"/>
        <w:rPr>
          <w:bCs/>
          <w:sz w:val="24"/>
          <w:szCs w:val="24"/>
        </w:rPr>
      </w:pPr>
      <w:r>
        <w:rPr>
          <w:rFonts w:hint="eastAsia"/>
          <w:bCs/>
          <w:sz w:val="24"/>
          <w:szCs w:val="24"/>
        </w:rPr>
        <w:t>印度办事处政治和秘密部档案是大英图书馆东方和印度事务部馆藏（OIOC，现隶属亚洲、太平洋和非洲馆藏）的一部分。自1902年起，政治和秘密部在伦敦收藏的最重要的信件和文件都被登记、编入索引并按主题单独装订成册。与此同时，该部门还建立了自己的保密手册参考图书馆，仅供内部官员和军事部门及其他印度办事处部门使用。政治和保密部的文件已按OIOC编号L/PS编目。从1902年到1930年，文件被归入L/P&amp;S/10编目下。大约在1930或1931年，该部门用新的“档案集”系列取代了主题档案系统，并根据地理区域进行排列，这些档案现在属于L/P&amp;S/12系列。</w:t>
      </w:r>
    </w:p>
    <w:p w14:paraId="5B1154D5">
      <w:pPr>
        <w:spacing w:before="120" w:after="120" w:line="360" w:lineRule="auto"/>
        <w:ind w:firstLine="420"/>
        <w:rPr>
          <w:bCs/>
          <w:sz w:val="24"/>
          <w:szCs w:val="24"/>
        </w:rPr>
      </w:pPr>
      <w:r>
        <w:rPr>
          <w:rFonts w:hint="eastAsia"/>
          <w:bCs/>
          <w:sz w:val="24"/>
          <w:szCs w:val="24"/>
        </w:rPr>
        <w:t>本系列中的档案主要来自“档案集1号”（阿拉伯），另外还有一些来自“档案集30号”（波斯湾）的相关资料。</w:t>
      </w:r>
    </w:p>
    <w:p w14:paraId="42F05C53">
      <w:pPr>
        <w:spacing w:before="120" w:after="120" w:line="360" w:lineRule="auto"/>
        <w:ind w:firstLine="420"/>
        <w:rPr>
          <w:b/>
          <w:sz w:val="24"/>
          <w:szCs w:val="24"/>
        </w:rPr>
      </w:pPr>
      <w:r>
        <w:rPr>
          <w:rFonts w:hint="eastAsia"/>
          <w:b/>
          <w:sz w:val="24"/>
          <w:szCs w:val="24"/>
        </w:rPr>
        <w:t>档案结构和内容</w:t>
      </w:r>
    </w:p>
    <w:p w14:paraId="523D0F82">
      <w:pPr>
        <w:spacing w:before="120" w:after="120" w:line="360" w:lineRule="auto"/>
        <w:ind w:firstLine="420"/>
        <w:rPr>
          <w:bCs/>
          <w:sz w:val="24"/>
          <w:szCs w:val="24"/>
        </w:rPr>
      </w:pPr>
      <w:r>
        <w:rPr>
          <w:rFonts w:hint="eastAsia"/>
          <w:bCs/>
          <w:sz w:val="24"/>
          <w:szCs w:val="24"/>
        </w:rPr>
        <w:t>本档案集的资料分为八组。第一组包括现保存在政治和保密部部门图书馆的印刷地名词典和手册（L/P&amp;S/20），以及印度事务部军事部图书馆的一些相关物品（L/MIL/17）。其他组包括印度事务部政治和保密部的主题档案和藏品，大致按主题排列。这些组的资料既广泛又详细。地名词典和手册包括该国所有地区的历史、地形、社会和经济信息，以及地图、部落介绍和主要人物传记。政治和机密主题档案包括英国驻阿拉伯和海湾地区各代表的报告和信函，以及与外交关系、边界和石油特许权有关的外交谈判细节，例如：部门间会议记录、与石油公司的信函和协议、附有特许权地图的石油特许权协议草案和最终版本、边界协议和地图、政府间讨论以及外交信函。档案还包括阿卜杜勒·阿齐兹国王和其他地区统治者的许多信件，以及有关中央政府、基础设施、地形、社会和宗教生活以及主要人物的广泛而独特的信息。还有一些档案介绍了建立地方行政机构以及社会和经济基础设施的背景和实际情况。</w:t>
      </w:r>
    </w:p>
    <w:p w14:paraId="246F7B46">
      <w:pPr>
        <w:pStyle w:val="2"/>
        <w:rPr>
          <w:rFonts w:ascii="Georgia" w:hAnsi="Georgia"/>
          <w:color w:val="005329"/>
          <w:spacing w:val="-12"/>
        </w:rPr>
      </w:pPr>
      <w:bookmarkStart w:id="23" w:name="_Toc30552"/>
      <w:r>
        <w:rPr>
          <w:rFonts w:ascii="Georgia" w:hAnsi="Georgia"/>
          <w:color w:val="005329"/>
          <w:spacing w:val="-12"/>
        </w:rPr>
        <w:t>19.</w:t>
      </w:r>
      <w:r>
        <w:rPr>
          <w:rFonts w:hint="eastAsia"/>
        </w:rPr>
        <w:t xml:space="preserve"> 现代土耳其的建立，约1906-1939年</w:t>
      </w:r>
      <w:bookmarkEnd w:id="23"/>
    </w:p>
    <w:p w14:paraId="32E3901F">
      <w:pPr>
        <w:widowControl/>
        <w:wordWrap w:val="0"/>
        <w:spacing w:line="360" w:lineRule="auto"/>
        <w:ind w:firstLine="480"/>
        <w:textAlignment w:val="baseline"/>
        <w:rPr>
          <w:rFonts w:eastAsia="宋体"/>
          <w:bCs/>
          <w:sz w:val="24"/>
          <w:szCs w:val="24"/>
        </w:rPr>
      </w:pPr>
      <w:r>
        <w:rPr>
          <w:rFonts w:ascii="inherit" w:hAnsi="inherit" w:eastAsia="宋体" w:cs="宋体"/>
          <w:b/>
          <w:bCs/>
          <w:color w:val="555555"/>
          <w:kern w:val="0"/>
          <w:sz w:val="24"/>
          <w:szCs w:val="24"/>
        </w:rPr>
        <w:t>数据库网址：</w:t>
      </w:r>
      <w:r>
        <w:fldChar w:fldCharType="begin"/>
      </w:r>
      <w:r>
        <w:instrText xml:space="preserve"> HYPERLINK "https://www.degruyter.com/database/turk/html" </w:instrText>
      </w:r>
      <w:r>
        <w:fldChar w:fldCharType="separate"/>
      </w:r>
      <w:r>
        <w:rPr>
          <w:rStyle w:val="12"/>
          <w:rFonts w:eastAsia="宋体"/>
          <w:bCs/>
          <w:sz w:val="24"/>
          <w:szCs w:val="24"/>
        </w:rPr>
        <w:t>https://www.degruyter.com/database/turk/html</w:t>
      </w:r>
      <w:r>
        <w:rPr>
          <w:rStyle w:val="12"/>
          <w:rFonts w:eastAsia="宋体"/>
          <w:bCs/>
          <w:sz w:val="24"/>
          <w:szCs w:val="24"/>
        </w:rPr>
        <w:fldChar w:fldCharType="end"/>
      </w:r>
    </w:p>
    <w:p w14:paraId="24F57F1A">
      <w:pPr>
        <w:widowControl/>
        <w:wordWrap w:val="0"/>
        <w:spacing w:line="360" w:lineRule="auto"/>
        <w:ind w:firstLine="480"/>
        <w:textAlignment w:val="baseline"/>
        <w:rPr>
          <w:rFonts w:hint="eastAsia" w:ascii="inherit" w:hAnsi="inherit" w:eastAsia="宋体" w:cs="宋体"/>
          <w:bCs/>
          <w:color w:val="FF0000"/>
          <w:kern w:val="0"/>
          <w:sz w:val="24"/>
          <w:szCs w:val="24"/>
        </w:rPr>
      </w:pPr>
      <w:r>
        <w:rPr>
          <w:rFonts w:ascii="inherit" w:hAnsi="inherit" w:eastAsia="宋体" w:cs="宋体"/>
          <w:b/>
          <w:bCs/>
          <w:color w:val="555555"/>
          <w:kern w:val="0"/>
          <w:sz w:val="24"/>
          <w:szCs w:val="24"/>
        </w:rPr>
        <w:t xml:space="preserve">数据库简介： </w:t>
      </w:r>
    </w:p>
    <w:p w14:paraId="51A9C245">
      <w:pPr>
        <w:spacing w:before="120" w:after="120" w:line="360" w:lineRule="auto"/>
        <w:ind w:firstLine="420"/>
        <w:rPr>
          <w:bCs/>
          <w:sz w:val="24"/>
          <w:szCs w:val="24"/>
        </w:rPr>
      </w:pPr>
      <w:r>
        <w:rPr>
          <w:rFonts w:hint="eastAsia"/>
          <w:bCs/>
          <w:sz w:val="24"/>
          <w:szCs w:val="24"/>
        </w:rPr>
        <w:t>1938年，凯末尔·阿塔图尔克逝世，英国驻土耳其大使珀西·洛兰爵士在其提交给外交部的年度报告中评价说，“在这位杰出人物的积极推动下，土耳其在短短的十五年间取得了道德、物质和政治方面的巨大进步”。</w:t>
      </w:r>
    </w:p>
    <w:p w14:paraId="788EA608">
      <w:pPr>
        <w:spacing w:before="120" w:after="120" w:line="360" w:lineRule="auto"/>
        <w:ind w:firstLine="420"/>
        <w:rPr>
          <w:bCs/>
          <w:sz w:val="24"/>
          <w:szCs w:val="24"/>
        </w:rPr>
      </w:pPr>
      <w:r>
        <w:rPr>
          <w:rFonts w:hint="eastAsia"/>
          <w:bCs/>
          <w:sz w:val="24"/>
          <w:szCs w:val="24"/>
        </w:rPr>
        <w:t>洛兰的报告是大英图书馆印度事务部档案馆在线档案和印刷物合集中的系列报告之一。该系列侧重讲述国际视角下奥斯曼帝国从二十世纪初开始到第一次世界大战后正式灭亡的衰落过程。同时，合集回顾了土耳其作为民族国家的形成史，从1908年和1909年的青年土耳其革命到1923年土耳其共和国宣布成立，再到战后的现代化、世俗化计划和领土巩固，直至阿塔图尔克逝世和第二次世界大战爆发。</w:t>
      </w:r>
    </w:p>
    <w:p w14:paraId="1384805D">
      <w:pPr>
        <w:spacing w:before="120" w:after="120" w:line="360" w:lineRule="auto"/>
        <w:ind w:firstLine="420"/>
        <w:rPr>
          <w:b/>
          <w:sz w:val="24"/>
          <w:szCs w:val="24"/>
        </w:rPr>
      </w:pPr>
      <w:r>
        <w:rPr>
          <w:rFonts w:hint="eastAsia"/>
          <w:b/>
          <w:sz w:val="24"/>
          <w:szCs w:val="24"/>
        </w:rPr>
        <w:t>国际竞争：英国与奥斯曼帝国的关系</w:t>
      </w:r>
    </w:p>
    <w:p w14:paraId="5D3D2236">
      <w:pPr>
        <w:spacing w:before="120" w:after="120" w:line="360" w:lineRule="auto"/>
        <w:ind w:firstLine="420"/>
        <w:rPr>
          <w:bCs/>
          <w:sz w:val="24"/>
          <w:szCs w:val="24"/>
        </w:rPr>
      </w:pPr>
      <w:r>
        <w:rPr>
          <w:rFonts w:hint="eastAsia"/>
          <w:bCs/>
          <w:sz w:val="24"/>
          <w:szCs w:val="24"/>
        </w:rPr>
        <w:t>十九世纪末，英国与奥斯曼帝国的关系由外交部和印度事务部负责。自十八世纪末起，东印度公司就定期在君士坦丁堡任命代理人，印度政府也持续关注着该地区政治动态，尤其是在十九世纪七十年代奥斯曼帝国向阿拉伯半岛扩张之后。第一次世界大战前夕，海湾地区的国际竞争焦点主要集中在奥斯曼帝国领土的石油特许权、巴格达铁路的建设以及德国参与该项目的国际影响上。1918年战争结束后，印度事务部积极参与了漫长的和平谈判、奥斯曼帝国的解体过程，以及1923年《洛桑条约》对现代土耳其国家的正式外交认可。</w:t>
      </w:r>
    </w:p>
    <w:p w14:paraId="0D5654D3">
      <w:pPr>
        <w:spacing w:before="120" w:after="120" w:line="360" w:lineRule="auto"/>
        <w:ind w:firstLine="420"/>
        <w:rPr>
          <w:b/>
          <w:sz w:val="24"/>
          <w:szCs w:val="24"/>
        </w:rPr>
      </w:pPr>
      <w:r>
        <w:rPr>
          <w:rFonts w:hint="eastAsia"/>
          <w:b/>
          <w:sz w:val="24"/>
          <w:szCs w:val="24"/>
        </w:rPr>
        <w:t>现代土耳其的崛起</w:t>
      </w:r>
    </w:p>
    <w:p w14:paraId="4400E903">
      <w:pPr>
        <w:spacing w:before="120" w:after="120" w:line="360" w:lineRule="auto"/>
        <w:ind w:firstLine="420"/>
        <w:rPr>
          <w:bCs/>
          <w:sz w:val="24"/>
          <w:szCs w:val="24"/>
        </w:rPr>
      </w:pPr>
      <w:r>
        <w:rPr>
          <w:rFonts w:hint="eastAsia"/>
          <w:bCs/>
          <w:sz w:val="24"/>
          <w:szCs w:val="24"/>
        </w:rPr>
        <w:t>第一次世界大战和平解决后，英属印度的利益集中在哈里发和废除苏丹国的问题和前奥斯曼帝国领土上更广泛的划界问题上。但与此同时，印度事务部也密切关注着导致土耳其和希腊在20世纪20年代初发生敌对行动的事件。在整个20世纪20年代和30年代，印度事务部从定期接收的外交部报告中了解土耳其的外交关系和国内政治动态。</w:t>
      </w:r>
    </w:p>
    <w:p w14:paraId="71F7E111">
      <w:pPr>
        <w:spacing w:before="120" w:after="120" w:line="360" w:lineRule="auto"/>
        <w:ind w:firstLine="420"/>
        <w:rPr>
          <w:b/>
          <w:sz w:val="24"/>
          <w:szCs w:val="24"/>
        </w:rPr>
      </w:pPr>
      <w:r>
        <w:rPr>
          <w:rFonts w:hint="eastAsia"/>
          <w:b/>
          <w:sz w:val="24"/>
          <w:szCs w:val="24"/>
        </w:rPr>
        <w:t>收录内容</w:t>
      </w:r>
    </w:p>
    <w:p w14:paraId="4D82463B">
      <w:pPr>
        <w:spacing w:before="120" w:after="120" w:line="360" w:lineRule="auto"/>
        <w:ind w:firstLine="420"/>
        <w:rPr>
          <w:bCs/>
          <w:sz w:val="24"/>
          <w:szCs w:val="24"/>
        </w:rPr>
      </w:pPr>
      <w:r>
        <w:rPr>
          <w:rFonts w:hint="eastAsia"/>
          <w:bCs/>
          <w:sz w:val="24"/>
          <w:szCs w:val="24"/>
        </w:rPr>
        <w:t>在20世纪上半叶，印度事务部所收集的关于土耳其的资料极为全面，其内容的广度和深度远远超出了大英帝国在印度和海湾地区的具体利益。这些珍贵的档案不仅涵盖了与海湾地区英国与奥斯曼帝国之间的竞争，还包括了外交部关于君士坦丁堡政治局势的机密印刷信件，以及其他20世纪奥斯曼帝国领土事件的记录。第一次世界大战期间，英国对土耳其所有省份的秘密和机密情报报告和手册激增，覆盖了“欧洲的土耳其”和“亚洲的土耳其”。20世纪二三十年代的档案详细记录了金融和经济形势、教育、人口分布、外交关系、军事和海军事务以及航空等关键领域的信息。</w:t>
      </w:r>
    </w:p>
    <w:p w14:paraId="19CD256B">
      <w:pPr>
        <w:spacing w:before="120" w:after="120" w:line="360" w:lineRule="auto"/>
        <w:ind w:firstLine="420"/>
        <w:rPr>
          <w:b/>
          <w:sz w:val="24"/>
          <w:szCs w:val="24"/>
        </w:rPr>
      </w:pPr>
      <w:r>
        <w:rPr>
          <w:rFonts w:hint="eastAsia"/>
          <w:b/>
          <w:sz w:val="24"/>
          <w:szCs w:val="24"/>
        </w:rPr>
        <w:t>出处和档案背景</w:t>
      </w:r>
    </w:p>
    <w:p w14:paraId="6E21477F">
      <w:pPr>
        <w:spacing w:before="120" w:after="120" w:line="360" w:lineRule="auto"/>
        <w:ind w:firstLine="420"/>
        <w:rPr>
          <w:bCs/>
          <w:sz w:val="24"/>
          <w:szCs w:val="24"/>
        </w:rPr>
      </w:pPr>
      <w:r>
        <w:rPr>
          <w:rFonts w:hint="eastAsia"/>
          <w:bCs/>
          <w:sz w:val="24"/>
          <w:szCs w:val="24"/>
        </w:rPr>
        <w:t>印度办事处政治和秘密部档案是大英图书馆东方和印度办事处藏品（OIOC，现隶属亚洲、太平洋和非洲馆藏）的一部分。政治和保密部的文件已按OIOC编号L/PS编目，军事部文件则归入L/MIL索引。自1902年起，政治和秘密部在伦敦收藏的最重要的信件和文件都被登记、编入索引并按主题单独装订成册。从1902年到1930年，文件被归入L/P&amp;S/10编目下。大约在1930/1931年，该部门用新的“档案集”系列取代了主题档案系统，并根据地理区域进行排列，这些档案现在属于L/P&amp;S/12系列。本系列中的档案主要来自“档案集39号”（土耳其）。</w:t>
      </w:r>
    </w:p>
    <w:p w14:paraId="0DC0B3DF">
      <w:pPr>
        <w:spacing w:before="120" w:after="120" w:line="360" w:lineRule="auto"/>
        <w:ind w:firstLine="420"/>
        <w:rPr>
          <w:bCs/>
          <w:sz w:val="24"/>
          <w:szCs w:val="24"/>
        </w:rPr>
      </w:pPr>
      <w:r>
        <w:rPr>
          <w:rFonts w:hint="eastAsia"/>
          <w:bCs/>
          <w:sz w:val="24"/>
          <w:szCs w:val="24"/>
        </w:rPr>
        <w:t>在同一时期以及更早的时期，该部门还与军事部门和印度办事处其他部门一样，建立了自己的保密手册参考图书馆，仅供本部门官员使用，现被归类于L/P&amp;S/20和L/MIL/17。这些档案集还包括一套外交部关于亚洲土耳其的印刷信件。</w:t>
      </w:r>
    </w:p>
    <w:p w14:paraId="34C138AC">
      <w:pPr>
        <w:spacing w:before="120" w:after="120" w:line="360" w:lineRule="auto"/>
        <w:ind w:firstLine="420"/>
        <w:rPr>
          <w:b/>
          <w:sz w:val="24"/>
          <w:szCs w:val="24"/>
        </w:rPr>
      </w:pPr>
      <w:r>
        <w:rPr>
          <w:rFonts w:hint="eastAsia"/>
          <w:b/>
          <w:sz w:val="24"/>
          <w:szCs w:val="24"/>
        </w:rPr>
        <w:t>本系列亮点</w:t>
      </w:r>
    </w:p>
    <w:p w14:paraId="73A7DCF9">
      <w:pPr>
        <w:spacing w:before="120" w:after="120" w:line="360" w:lineRule="auto"/>
        <w:ind w:firstLine="420"/>
        <w:rPr>
          <w:bCs/>
          <w:sz w:val="24"/>
          <w:szCs w:val="24"/>
        </w:rPr>
      </w:pPr>
      <w:r>
        <w:rPr>
          <w:rFonts w:hint="eastAsia"/>
          <w:bCs/>
          <w:sz w:val="24"/>
          <w:szCs w:val="24"/>
        </w:rPr>
        <w:t>- 土耳其人的崛起。泛土耳其运动。由外交部历史科指导编写的手册，1919年；</w:t>
      </w:r>
    </w:p>
    <w:p w14:paraId="09D52908">
      <w:pPr>
        <w:spacing w:before="120" w:after="120" w:line="360" w:lineRule="auto"/>
        <w:ind w:firstLine="420"/>
        <w:rPr>
          <w:bCs/>
          <w:sz w:val="24"/>
          <w:szCs w:val="24"/>
        </w:rPr>
      </w:pPr>
      <w:r>
        <w:rPr>
          <w:rFonts w:hint="eastAsia"/>
          <w:bCs/>
          <w:sz w:val="24"/>
          <w:szCs w:val="24"/>
        </w:rPr>
        <w:t>- 亚洲土耳其铁路和巴格达铁路谈判，1903-1914年；</w:t>
      </w:r>
    </w:p>
    <w:p w14:paraId="5193D306">
      <w:pPr>
        <w:spacing w:before="120" w:after="120" w:line="360" w:lineRule="auto"/>
        <w:ind w:firstLine="420"/>
        <w:rPr>
          <w:bCs/>
          <w:sz w:val="24"/>
          <w:szCs w:val="24"/>
        </w:rPr>
      </w:pPr>
      <w:r>
        <w:rPr>
          <w:rFonts w:hint="eastAsia"/>
          <w:bCs/>
          <w:sz w:val="24"/>
          <w:szCs w:val="24"/>
        </w:rPr>
        <w:t>- 1911-1913年土意战争；</w:t>
      </w:r>
    </w:p>
    <w:p w14:paraId="2F137315">
      <w:pPr>
        <w:spacing w:before="120" w:after="120" w:line="360" w:lineRule="auto"/>
        <w:ind w:firstLine="420"/>
        <w:rPr>
          <w:bCs/>
          <w:sz w:val="24"/>
          <w:szCs w:val="24"/>
        </w:rPr>
      </w:pPr>
      <w:r>
        <w:rPr>
          <w:rFonts w:hint="eastAsia"/>
          <w:bCs/>
          <w:sz w:val="24"/>
          <w:szCs w:val="24"/>
        </w:rPr>
        <w:t>- 哈里发和泛阿拉伯运动，1914-1918年；</w:t>
      </w:r>
    </w:p>
    <w:p w14:paraId="1832C7AB">
      <w:pPr>
        <w:spacing w:before="120" w:after="120" w:line="360" w:lineRule="auto"/>
        <w:ind w:firstLine="420"/>
        <w:rPr>
          <w:bCs/>
          <w:sz w:val="24"/>
          <w:szCs w:val="24"/>
        </w:rPr>
      </w:pPr>
      <w:r>
        <w:rPr>
          <w:rFonts w:hint="eastAsia"/>
          <w:bCs/>
          <w:sz w:val="24"/>
          <w:szCs w:val="24"/>
        </w:rPr>
        <w:t>- 哈里发和苏丹问题，1919-1925年；</w:t>
      </w:r>
    </w:p>
    <w:p w14:paraId="6F22B932">
      <w:pPr>
        <w:spacing w:before="120" w:after="120" w:line="360" w:lineRule="auto"/>
        <w:ind w:firstLine="420"/>
        <w:rPr>
          <w:bCs/>
          <w:sz w:val="24"/>
          <w:szCs w:val="24"/>
        </w:rPr>
      </w:pPr>
      <w:r>
        <w:rPr>
          <w:rFonts w:hint="eastAsia"/>
          <w:bCs/>
          <w:sz w:val="24"/>
          <w:szCs w:val="24"/>
        </w:rPr>
        <w:t>- 与土耳其的和平条约《塞夫尔条约》和《洛桑条约》，1919-1930年；</w:t>
      </w:r>
    </w:p>
    <w:p w14:paraId="22279758">
      <w:pPr>
        <w:spacing w:before="120" w:after="120" w:line="360" w:lineRule="auto"/>
        <w:ind w:firstLine="420"/>
        <w:rPr>
          <w:bCs/>
          <w:sz w:val="24"/>
          <w:szCs w:val="24"/>
        </w:rPr>
      </w:pPr>
      <w:r>
        <w:rPr>
          <w:rFonts w:hint="eastAsia"/>
          <w:bCs/>
          <w:sz w:val="24"/>
          <w:szCs w:val="24"/>
        </w:rPr>
        <w:t>- 土耳其与希腊：战争与和平，1921-1923年；</w:t>
      </w:r>
    </w:p>
    <w:p w14:paraId="63E5DF43">
      <w:pPr>
        <w:spacing w:before="120" w:after="120" w:line="360" w:lineRule="auto"/>
        <w:ind w:firstLine="420"/>
        <w:rPr>
          <w:bCs/>
          <w:sz w:val="24"/>
          <w:szCs w:val="24"/>
        </w:rPr>
      </w:pPr>
      <w:r>
        <w:rPr>
          <w:rFonts w:hint="eastAsia"/>
          <w:bCs/>
          <w:sz w:val="24"/>
          <w:szCs w:val="24"/>
        </w:rPr>
        <w:t>- 外交部关于土耳其事务的年度印刷报告，1926-1938年；</w:t>
      </w:r>
    </w:p>
    <w:p w14:paraId="27A1DA9F">
      <w:pPr>
        <w:spacing w:before="120" w:after="120" w:line="360" w:lineRule="auto"/>
        <w:ind w:firstLine="420"/>
        <w:rPr>
          <w:bCs/>
          <w:sz w:val="24"/>
          <w:szCs w:val="24"/>
        </w:rPr>
      </w:pPr>
      <w:r>
        <w:rPr>
          <w:rFonts w:hint="eastAsia"/>
          <w:bCs/>
          <w:sz w:val="24"/>
          <w:szCs w:val="24"/>
        </w:rPr>
        <w:t>- 达达尼尔海峡的再军事化：蒙特勒会议，1936-1937年。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Georgia">
    <w:panose1 w:val="02040502050405020303"/>
    <w:charset w:val="00"/>
    <w:family w:val="roman"/>
    <w:pitch w:val="default"/>
    <w:sig w:usb0="00000287" w:usb1="00000000" w:usb2="00000000" w:usb3="00000000" w:csb0="2000009F" w:csb1="00000000"/>
  </w:font>
  <w:font w:name="inherit">
    <w:altName w:val="Times New Roman"/>
    <w:panose1 w:val="00000000000000000000"/>
    <w:charset w:val="00"/>
    <w:family w:val="roma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6763166"/>
      <w:docPartObj>
        <w:docPartGallery w:val="AutoText"/>
      </w:docPartObj>
    </w:sdtPr>
    <w:sdtContent>
      <w:p w14:paraId="5AE979F1">
        <w:pPr>
          <w:pStyle w:val="4"/>
          <w:jc w:val="right"/>
        </w:pPr>
        <w:r>
          <w:fldChar w:fldCharType="begin"/>
        </w:r>
        <w:r>
          <w:instrText xml:space="preserve">PAGE   \* MERGEFORMAT</w:instrText>
        </w:r>
        <w:r>
          <w:fldChar w:fldCharType="separate"/>
        </w:r>
        <w:r>
          <w:rPr>
            <w:lang w:val="zh-CN"/>
          </w:rPr>
          <w:t>45</w:t>
        </w:r>
        <w:r>
          <w:fldChar w:fldCharType="end"/>
        </w:r>
      </w:p>
    </w:sdtContent>
  </w:sdt>
  <w:p w14:paraId="663F0BEF">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353AAB"/>
    <w:multiLevelType w:val="multilevel"/>
    <w:tmpl w:val="28353AAB"/>
    <w:lvl w:ilvl="0" w:tentative="0">
      <w:start w:val="1"/>
      <w:numFmt w:val="bullet"/>
      <w:lvlText w:val="-"/>
      <w:lvlJc w:val="left"/>
      <w:pPr>
        <w:ind w:left="1140" w:hanging="360"/>
      </w:pPr>
      <w:rPr>
        <w:rFonts w:hint="default" w:ascii="Calibri" w:hAnsi="Calibri"/>
      </w:rPr>
    </w:lvl>
    <w:lvl w:ilvl="1" w:tentative="0">
      <w:start w:val="1"/>
      <w:numFmt w:val="bullet"/>
      <w:lvlText w:val="o"/>
      <w:lvlJc w:val="left"/>
      <w:pPr>
        <w:ind w:left="1860" w:hanging="360"/>
      </w:pPr>
      <w:rPr>
        <w:rFonts w:hint="default" w:ascii="Courier New" w:hAnsi="Courier New" w:cs="Courier New"/>
      </w:rPr>
    </w:lvl>
    <w:lvl w:ilvl="2" w:tentative="0">
      <w:start w:val="1"/>
      <w:numFmt w:val="bullet"/>
      <w:lvlText w:val=""/>
      <w:lvlJc w:val="left"/>
      <w:pPr>
        <w:ind w:left="2580" w:hanging="360"/>
      </w:pPr>
      <w:rPr>
        <w:rFonts w:hint="default" w:ascii="Wingdings" w:hAnsi="Wingdings"/>
      </w:rPr>
    </w:lvl>
    <w:lvl w:ilvl="3" w:tentative="0">
      <w:start w:val="1"/>
      <w:numFmt w:val="bullet"/>
      <w:lvlText w:val=""/>
      <w:lvlJc w:val="left"/>
      <w:pPr>
        <w:ind w:left="3300" w:hanging="360"/>
      </w:pPr>
      <w:rPr>
        <w:rFonts w:hint="default" w:ascii="Symbol" w:hAnsi="Symbol"/>
      </w:rPr>
    </w:lvl>
    <w:lvl w:ilvl="4" w:tentative="0">
      <w:start w:val="1"/>
      <w:numFmt w:val="bullet"/>
      <w:lvlText w:val="o"/>
      <w:lvlJc w:val="left"/>
      <w:pPr>
        <w:ind w:left="4020" w:hanging="360"/>
      </w:pPr>
      <w:rPr>
        <w:rFonts w:hint="default" w:ascii="Courier New" w:hAnsi="Courier New" w:cs="Courier New"/>
      </w:rPr>
    </w:lvl>
    <w:lvl w:ilvl="5" w:tentative="0">
      <w:start w:val="1"/>
      <w:numFmt w:val="bullet"/>
      <w:lvlText w:val=""/>
      <w:lvlJc w:val="left"/>
      <w:pPr>
        <w:ind w:left="4740" w:hanging="360"/>
      </w:pPr>
      <w:rPr>
        <w:rFonts w:hint="default" w:ascii="Wingdings" w:hAnsi="Wingdings"/>
      </w:rPr>
    </w:lvl>
    <w:lvl w:ilvl="6" w:tentative="0">
      <w:start w:val="1"/>
      <w:numFmt w:val="bullet"/>
      <w:lvlText w:val=""/>
      <w:lvlJc w:val="left"/>
      <w:pPr>
        <w:ind w:left="5460" w:hanging="360"/>
      </w:pPr>
      <w:rPr>
        <w:rFonts w:hint="default" w:ascii="Symbol" w:hAnsi="Symbol"/>
      </w:rPr>
    </w:lvl>
    <w:lvl w:ilvl="7" w:tentative="0">
      <w:start w:val="1"/>
      <w:numFmt w:val="bullet"/>
      <w:lvlText w:val="o"/>
      <w:lvlJc w:val="left"/>
      <w:pPr>
        <w:ind w:left="6180" w:hanging="360"/>
      </w:pPr>
      <w:rPr>
        <w:rFonts w:hint="default" w:ascii="Courier New" w:hAnsi="Courier New" w:cs="Courier New"/>
      </w:rPr>
    </w:lvl>
    <w:lvl w:ilvl="8" w:tentative="0">
      <w:start w:val="1"/>
      <w:numFmt w:val="bullet"/>
      <w:lvlText w:val=""/>
      <w:lvlJc w:val="left"/>
      <w:pPr>
        <w:ind w:left="6900" w:hanging="360"/>
      </w:pPr>
      <w:rPr>
        <w:rFonts w:hint="default" w:ascii="Wingdings" w:hAnsi="Wingdings"/>
      </w:rPr>
    </w:lvl>
  </w:abstractNum>
  <w:abstractNum w:abstractNumId="1">
    <w:nsid w:val="2E8E3DB5"/>
    <w:multiLevelType w:val="multilevel"/>
    <w:tmpl w:val="2E8E3DB5"/>
    <w:lvl w:ilvl="0" w:tentative="0">
      <w:start w:val="1"/>
      <w:numFmt w:val="bullet"/>
      <w:lvlText w:val=""/>
      <w:lvlJc w:val="left"/>
      <w:pPr>
        <w:ind w:left="800" w:hanging="360"/>
      </w:pPr>
      <w:rPr>
        <w:rFonts w:hint="default" w:ascii="Symbol" w:hAnsi="Symbol"/>
      </w:rPr>
    </w:lvl>
    <w:lvl w:ilvl="1" w:tentative="0">
      <w:start w:val="1"/>
      <w:numFmt w:val="bullet"/>
      <w:lvlText w:val="o"/>
      <w:lvlJc w:val="left"/>
      <w:pPr>
        <w:ind w:left="1520" w:hanging="360"/>
      </w:pPr>
      <w:rPr>
        <w:rFonts w:hint="default" w:ascii="Courier New" w:hAnsi="Courier New" w:cs="Courier New"/>
      </w:rPr>
    </w:lvl>
    <w:lvl w:ilvl="2" w:tentative="0">
      <w:start w:val="1"/>
      <w:numFmt w:val="bullet"/>
      <w:lvlText w:val=""/>
      <w:lvlJc w:val="left"/>
      <w:pPr>
        <w:ind w:left="2240" w:hanging="360"/>
      </w:pPr>
      <w:rPr>
        <w:rFonts w:hint="default" w:ascii="Wingdings" w:hAnsi="Wingdings"/>
      </w:rPr>
    </w:lvl>
    <w:lvl w:ilvl="3" w:tentative="0">
      <w:start w:val="1"/>
      <w:numFmt w:val="bullet"/>
      <w:lvlText w:val=""/>
      <w:lvlJc w:val="left"/>
      <w:pPr>
        <w:ind w:left="2960" w:hanging="360"/>
      </w:pPr>
      <w:rPr>
        <w:rFonts w:hint="default" w:ascii="Symbol" w:hAnsi="Symbol"/>
      </w:rPr>
    </w:lvl>
    <w:lvl w:ilvl="4" w:tentative="0">
      <w:start w:val="1"/>
      <w:numFmt w:val="bullet"/>
      <w:lvlText w:val="o"/>
      <w:lvlJc w:val="left"/>
      <w:pPr>
        <w:ind w:left="3680" w:hanging="360"/>
      </w:pPr>
      <w:rPr>
        <w:rFonts w:hint="default" w:ascii="Courier New" w:hAnsi="Courier New" w:cs="Courier New"/>
      </w:rPr>
    </w:lvl>
    <w:lvl w:ilvl="5" w:tentative="0">
      <w:start w:val="1"/>
      <w:numFmt w:val="bullet"/>
      <w:lvlText w:val=""/>
      <w:lvlJc w:val="left"/>
      <w:pPr>
        <w:ind w:left="4400" w:hanging="360"/>
      </w:pPr>
      <w:rPr>
        <w:rFonts w:hint="default" w:ascii="Wingdings" w:hAnsi="Wingdings"/>
      </w:rPr>
    </w:lvl>
    <w:lvl w:ilvl="6" w:tentative="0">
      <w:start w:val="1"/>
      <w:numFmt w:val="bullet"/>
      <w:lvlText w:val=""/>
      <w:lvlJc w:val="left"/>
      <w:pPr>
        <w:ind w:left="5120" w:hanging="360"/>
      </w:pPr>
      <w:rPr>
        <w:rFonts w:hint="default" w:ascii="Symbol" w:hAnsi="Symbol"/>
      </w:rPr>
    </w:lvl>
    <w:lvl w:ilvl="7" w:tentative="0">
      <w:start w:val="1"/>
      <w:numFmt w:val="bullet"/>
      <w:lvlText w:val="o"/>
      <w:lvlJc w:val="left"/>
      <w:pPr>
        <w:ind w:left="5840" w:hanging="360"/>
      </w:pPr>
      <w:rPr>
        <w:rFonts w:hint="default" w:ascii="Courier New" w:hAnsi="Courier New" w:cs="Courier New"/>
      </w:rPr>
    </w:lvl>
    <w:lvl w:ilvl="8" w:tentative="0">
      <w:start w:val="1"/>
      <w:numFmt w:val="bullet"/>
      <w:lvlText w:val=""/>
      <w:lvlJc w:val="left"/>
      <w:pPr>
        <w:ind w:left="6560" w:hanging="360"/>
      </w:pPr>
      <w:rPr>
        <w:rFonts w:hint="default" w:ascii="Wingdings" w:hAnsi="Wingdings"/>
      </w:rPr>
    </w:lvl>
  </w:abstractNum>
  <w:abstractNum w:abstractNumId="2">
    <w:nsid w:val="3B09750B"/>
    <w:multiLevelType w:val="multilevel"/>
    <w:tmpl w:val="3B09750B"/>
    <w:lvl w:ilvl="0" w:tentative="0">
      <w:start w:val="1"/>
      <w:numFmt w:val="bullet"/>
      <w:lvlText w:val="-"/>
      <w:lvlJc w:val="left"/>
      <w:pPr>
        <w:ind w:left="1140" w:hanging="360"/>
      </w:pPr>
      <w:rPr>
        <w:rFonts w:hint="default" w:ascii="Calibri" w:hAnsi="Calibri"/>
      </w:rPr>
    </w:lvl>
    <w:lvl w:ilvl="1" w:tentative="0">
      <w:start w:val="1"/>
      <w:numFmt w:val="bullet"/>
      <w:lvlText w:val="o"/>
      <w:lvlJc w:val="left"/>
      <w:pPr>
        <w:ind w:left="1860" w:hanging="360"/>
      </w:pPr>
      <w:rPr>
        <w:rFonts w:hint="default" w:ascii="Courier New" w:hAnsi="Courier New" w:cs="Courier New"/>
      </w:rPr>
    </w:lvl>
    <w:lvl w:ilvl="2" w:tentative="0">
      <w:start w:val="1"/>
      <w:numFmt w:val="bullet"/>
      <w:lvlText w:val=""/>
      <w:lvlJc w:val="left"/>
      <w:pPr>
        <w:ind w:left="2580" w:hanging="360"/>
      </w:pPr>
      <w:rPr>
        <w:rFonts w:hint="default" w:ascii="Wingdings" w:hAnsi="Wingdings"/>
      </w:rPr>
    </w:lvl>
    <w:lvl w:ilvl="3" w:tentative="0">
      <w:start w:val="1"/>
      <w:numFmt w:val="bullet"/>
      <w:lvlText w:val=""/>
      <w:lvlJc w:val="left"/>
      <w:pPr>
        <w:ind w:left="3300" w:hanging="360"/>
      </w:pPr>
      <w:rPr>
        <w:rFonts w:hint="default" w:ascii="Symbol" w:hAnsi="Symbol"/>
      </w:rPr>
    </w:lvl>
    <w:lvl w:ilvl="4" w:tentative="0">
      <w:start w:val="1"/>
      <w:numFmt w:val="bullet"/>
      <w:lvlText w:val="o"/>
      <w:lvlJc w:val="left"/>
      <w:pPr>
        <w:ind w:left="4020" w:hanging="360"/>
      </w:pPr>
      <w:rPr>
        <w:rFonts w:hint="default" w:ascii="Courier New" w:hAnsi="Courier New" w:cs="Courier New"/>
      </w:rPr>
    </w:lvl>
    <w:lvl w:ilvl="5" w:tentative="0">
      <w:start w:val="1"/>
      <w:numFmt w:val="bullet"/>
      <w:lvlText w:val=""/>
      <w:lvlJc w:val="left"/>
      <w:pPr>
        <w:ind w:left="4740" w:hanging="360"/>
      </w:pPr>
      <w:rPr>
        <w:rFonts w:hint="default" w:ascii="Wingdings" w:hAnsi="Wingdings"/>
      </w:rPr>
    </w:lvl>
    <w:lvl w:ilvl="6" w:tentative="0">
      <w:start w:val="1"/>
      <w:numFmt w:val="bullet"/>
      <w:lvlText w:val=""/>
      <w:lvlJc w:val="left"/>
      <w:pPr>
        <w:ind w:left="5460" w:hanging="360"/>
      </w:pPr>
      <w:rPr>
        <w:rFonts w:hint="default" w:ascii="Symbol" w:hAnsi="Symbol"/>
      </w:rPr>
    </w:lvl>
    <w:lvl w:ilvl="7" w:tentative="0">
      <w:start w:val="1"/>
      <w:numFmt w:val="bullet"/>
      <w:lvlText w:val="o"/>
      <w:lvlJc w:val="left"/>
      <w:pPr>
        <w:ind w:left="6180" w:hanging="360"/>
      </w:pPr>
      <w:rPr>
        <w:rFonts w:hint="default" w:ascii="Courier New" w:hAnsi="Courier New" w:cs="Courier New"/>
      </w:rPr>
    </w:lvl>
    <w:lvl w:ilvl="8" w:tentative="0">
      <w:start w:val="1"/>
      <w:numFmt w:val="bullet"/>
      <w:lvlText w:val=""/>
      <w:lvlJc w:val="left"/>
      <w:pPr>
        <w:ind w:left="6900" w:hanging="360"/>
      </w:pPr>
      <w:rPr>
        <w:rFonts w:hint="default" w:ascii="Wingdings" w:hAnsi="Wingdings"/>
      </w:rPr>
    </w:lvl>
  </w:abstractNum>
  <w:abstractNum w:abstractNumId="3">
    <w:nsid w:val="3CA67798"/>
    <w:multiLevelType w:val="multilevel"/>
    <w:tmpl w:val="3CA67798"/>
    <w:lvl w:ilvl="0" w:tentative="0">
      <w:start w:val="1"/>
      <w:numFmt w:val="bullet"/>
      <w:lvlText w:val="-"/>
      <w:lvlJc w:val="left"/>
      <w:pPr>
        <w:ind w:left="360" w:hanging="360"/>
      </w:pPr>
      <w:rPr>
        <w:rFonts w:hint="default" w:ascii="Calibri" w:hAnsi="Calibr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46321FE6"/>
    <w:multiLevelType w:val="multilevel"/>
    <w:tmpl w:val="46321FE6"/>
    <w:lvl w:ilvl="0" w:tentative="0">
      <w:start w:val="1"/>
      <w:numFmt w:val="bullet"/>
      <w:lvlText w:val=""/>
      <w:lvlJc w:val="left"/>
      <w:pPr>
        <w:ind w:left="842" w:hanging="420"/>
      </w:pPr>
      <w:rPr>
        <w:rFonts w:hint="default" w:ascii="Wingdings" w:hAnsi="Wingdings"/>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5">
    <w:nsid w:val="4A782B09"/>
    <w:multiLevelType w:val="multilevel"/>
    <w:tmpl w:val="4A782B09"/>
    <w:lvl w:ilvl="0" w:tentative="0">
      <w:start w:val="0"/>
      <w:numFmt w:val="bullet"/>
      <w:lvlText w:val="•"/>
      <w:lvlJc w:val="left"/>
      <w:pPr>
        <w:ind w:left="720" w:hanging="360"/>
      </w:pPr>
      <w:rPr>
        <w:rFonts w:hint="eastAsia" w:ascii="等线" w:hAnsi="等线" w:eastAsia="等线" w:cstheme="minorBidi"/>
        <w:color w:val="auto"/>
        <w:sz w:val="22"/>
        <w:szCs w:val="22"/>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1765443"/>
    <w:multiLevelType w:val="multilevel"/>
    <w:tmpl w:val="51765443"/>
    <w:lvl w:ilvl="0" w:tentative="0">
      <w:start w:val="1"/>
      <w:numFmt w:val="bullet"/>
      <w:lvlText w:val="-"/>
      <w:lvlJc w:val="left"/>
      <w:pPr>
        <w:ind w:left="1140" w:hanging="360"/>
      </w:pPr>
      <w:rPr>
        <w:rFonts w:hint="default" w:ascii="Calibri" w:hAnsi="Calibri"/>
      </w:rPr>
    </w:lvl>
    <w:lvl w:ilvl="1" w:tentative="0">
      <w:start w:val="1"/>
      <w:numFmt w:val="bullet"/>
      <w:lvlText w:val="o"/>
      <w:lvlJc w:val="left"/>
      <w:pPr>
        <w:ind w:left="1860" w:hanging="360"/>
      </w:pPr>
      <w:rPr>
        <w:rFonts w:hint="default" w:ascii="Courier New" w:hAnsi="Courier New" w:cs="Courier New"/>
      </w:rPr>
    </w:lvl>
    <w:lvl w:ilvl="2" w:tentative="0">
      <w:start w:val="1"/>
      <w:numFmt w:val="bullet"/>
      <w:lvlText w:val=""/>
      <w:lvlJc w:val="left"/>
      <w:pPr>
        <w:ind w:left="2580" w:hanging="360"/>
      </w:pPr>
      <w:rPr>
        <w:rFonts w:hint="default" w:ascii="Wingdings" w:hAnsi="Wingdings"/>
      </w:rPr>
    </w:lvl>
    <w:lvl w:ilvl="3" w:tentative="0">
      <w:start w:val="1"/>
      <w:numFmt w:val="bullet"/>
      <w:lvlText w:val=""/>
      <w:lvlJc w:val="left"/>
      <w:pPr>
        <w:ind w:left="3300" w:hanging="360"/>
      </w:pPr>
      <w:rPr>
        <w:rFonts w:hint="default" w:ascii="Symbol" w:hAnsi="Symbol"/>
      </w:rPr>
    </w:lvl>
    <w:lvl w:ilvl="4" w:tentative="0">
      <w:start w:val="1"/>
      <w:numFmt w:val="bullet"/>
      <w:lvlText w:val="o"/>
      <w:lvlJc w:val="left"/>
      <w:pPr>
        <w:ind w:left="4020" w:hanging="360"/>
      </w:pPr>
      <w:rPr>
        <w:rFonts w:hint="default" w:ascii="Courier New" w:hAnsi="Courier New" w:cs="Courier New"/>
      </w:rPr>
    </w:lvl>
    <w:lvl w:ilvl="5" w:tentative="0">
      <w:start w:val="1"/>
      <w:numFmt w:val="bullet"/>
      <w:lvlText w:val=""/>
      <w:lvlJc w:val="left"/>
      <w:pPr>
        <w:ind w:left="4740" w:hanging="360"/>
      </w:pPr>
      <w:rPr>
        <w:rFonts w:hint="default" w:ascii="Wingdings" w:hAnsi="Wingdings"/>
      </w:rPr>
    </w:lvl>
    <w:lvl w:ilvl="6" w:tentative="0">
      <w:start w:val="1"/>
      <w:numFmt w:val="bullet"/>
      <w:lvlText w:val=""/>
      <w:lvlJc w:val="left"/>
      <w:pPr>
        <w:ind w:left="5460" w:hanging="360"/>
      </w:pPr>
      <w:rPr>
        <w:rFonts w:hint="default" w:ascii="Symbol" w:hAnsi="Symbol"/>
      </w:rPr>
    </w:lvl>
    <w:lvl w:ilvl="7" w:tentative="0">
      <w:start w:val="1"/>
      <w:numFmt w:val="bullet"/>
      <w:lvlText w:val="o"/>
      <w:lvlJc w:val="left"/>
      <w:pPr>
        <w:ind w:left="6180" w:hanging="360"/>
      </w:pPr>
      <w:rPr>
        <w:rFonts w:hint="default" w:ascii="Courier New" w:hAnsi="Courier New" w:cs="Courier New"/>
      </w:rPr>
    </w:lvl>
    <w:lvl w:ilvl="8" w:tentative="0">
      <w:start w:val="1"/>
      <w:numFmt w:val="bullet"/>
      <w:lvlText w:val=""/>
      <w:lvlJc w:val="left"/>
      <w:pPr>
        <w:ind w:left="6900" w:hanging="360"/>
      </w:pPr>
      <w:rPr>
        <w:rFonts w:hint="default" w:ascii="Wingdings" w:hAnsi="Wingdings"/>
      </w:rPr>
    </w:lvl>
  </w:abstractNum>
  <w:abstractNum w:abstractNumId="7">
    <w:nsid w:val="684A1CB4"/>
    <w:multiLevelType w:val="multilevel"/>
    <w:tmpl w:val="684A1C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6E04FFD"/>
    <w:multiLevelType w:val="multilevel"/>
    <w:tmpl w:val="76E04FFD"/>
    <w:lvl w:ilvl="0" w:tentative="0">
      <w:start w:val="1"/>
      <w:numFmt w:val="bullet"/>
      <w:lvlText w:val=""/>
      <w:lvlJc w:val="left"/>
      <w:pPr>
        <w:ind w:left="800" w:hanging="360"/>
      </w:pPr>
      <w:rPr>
        <w:rFonts w:hint="default" w:ascii="Symbol" w:hAnsi="Symbol"/>
      </w:rPr>
    </w:lvl>
    <w:lvl w:ilvl="1" w:tentative="0">
      <w:start w:val="1"/>
      <w:numFmt w:val="bullet"/>
      <w:lvlText w:val="o"/>
      <w:lvlJc w:val="left"/>
      <w:pPr>
        <w:ind w:left="1520" w:hanging="360"/>
      </w:pPr>
      <w:rPr>
        <w:rFonts w:hint="default" w:ascii="Courier New" w:hAnsi="Courier New" w:cs="Courier New"/>
      </w:rPr>
    </w:lvl>
    <w:lvl w:ilvl="2" w:tentative="0">
      <w:start w:val="1"/>
      <w:numFmt w:val="bullet"/>
      <w:lvlText w:val=""/>
      <w:lvlJc w:val="left"/>
      <w:pPr>
        <w:ind w:left="2240" w:hanging="360"/>
      </w:pPr>
      <w:rPr>
        <w:rFonts w:hint="default" w:ascii="Wingdings" w:hAnsi="Wingdings"/>
      </w:rPr>
    </w:lvl>
    <w:lvl w:ilvl="3" w:tentative="0">
      <w:start w:val="1"/>
      <w:numFmt w:val="bullet"/>
      <w:lvlText w:val=""/>
      <w:lvlJc w:val="left"/>
      <w:pPr>
        <w:ind w:left="2960" w:hanging="360"/>
      </w:pPr>
      <w:rPr>
        <w:rFonts w:hint="default" w:ascii="Symbol" w:hAnsi="Symbol"/>
      </w:rPr>
    </w:lvl>
    <w:lvl w:ilvl="4" w:tentative="0">
      <w:start w:val="1"/>
      <w:numFmt w:val="bullet"/>
      <w:lvlText w:val="o"/>
      <w:lvlJc w:val="left"/>
      <w:pPr>
        <w:ind w:left="3680" w:hanging="360"/>
      </w:pPr>
      <w:rPr>
        <w:rFonts w:hint="default" w:ascii="Courier New" w:hAnsi="Courier New" w:cs="Courier New"/>
      </w:rPr>
    </w:lvl>
    <w:lvl w:ilvl="5" w:tentative="0">
      <w:start w:val="1"/>
      <w:numFmt w:val="bullet"/>
      <w:lvlText w:val=""/>
      <w:lvlJc w:val="left"/>
      <w:pPr>
        <w:ind w:left="4400" w:hanging="360"/>
      </w:pPr>
      <w:rPr>
        <w:rFonts w:hint="default" w:ascii="Wingdings" w:hAnsi="Wingdings"/>
      </w:rPr>
    </w:lvl>
    <w:lvl w:ilvl="6" w:tentative="0">
      <w:start w:val="1"/>
      <w:numFmt w:val="bullet"/>
      <w:lvlText w:val=""/>
      <w:lvlJc w:val="left"/>
      <w:pPr>
        <w:ind w:left="5120" w:hanging="360"/>
      </w:pPr>
      <w:rPr>
        <w:rFonts w:hint="default" w:ascii="Symbol" w:hAnsi="Symbol"/>
      </w:rPr>
    </w:lvl>
    <w:lvl w:ilvl="7" w:tentative="0">
      <w:start w:val="1"/>
      <w:numFmt w:val="bullet"/>
      <w:lvlText w:val="o"/>
      <w:lvlJc w:val="left"/>
      <w:pPr>
        <w:ind w:left="5840" w:hanging="360"/>
      </w:pPr>
      <w:rPr>
        <w:rFonts w:hint="default" w:ascii="Courier New" w:hAnsi="Courier New" w:cs="Courier New"/>
      </w:rPr>
    </w:lvl>
    <w:lvl w:ilvl="8" w:tentative="0">
      <w:start w:val="1"/>
      <w:numFmt w:val="bullet"/>
      <w:lvlText w:val=""/>
      <w:lvlJc w:val="left"/>
      <w:pPr>
        <w:ind w:left="6560" w:hanging="360"/>
      </w:pPr>
      <w:rPr>
        <w:rFonts w:hint="default" w:ascii="Wingdings" w:hAnsi="Wingdings"/>
      </w:rPr>
    </w:lvl>
  </w:abstractNum>
  <w:num w:numId="1">
    <w:abstractNumId w:val="8"/>
  </w:num>
  <w:num w:numId="2">
    <w:abstractNumId w:val="1"/>
  </w:num>
  <w:num w:numId="3">
    <w:abstractNumId w:val="7"/>
  </w:num>
  <w:num w:numId="4">
    <w:abstractNumId w:val="4"/>
  </w:num>
  <w:num w:numId="5">
    <w:abstractNumId w:val="6"/>
  </w:num>
  <w:num w:numId="6">
    <w:abstractNumId w:val="2"/>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0B0"/>
    <w:rsid w:val="000832E1"/>
    <w:rsid w:val="0008590D"/>
    <w:rsid w:val="00120660"/>
    <w:rsid w:val="0013631D"/>
    <w:rsid w:val="001651A6"/>
    <w:rsid w:val="00296CC2"/>
    <w:rsid w:val="002C4D67"/>
    <w:rsid w:val="003F5D21"/>
    <w:rsid w:val="00433D17"/>
    <w:rsid w:val="00466DF6"/>
    <w:rsid w:val="004C55F2"/>
    <w:rsid w:val="00555D17"/>
    <w:rsid w:val="006520B0"/>
    <w:rsid w:val="006A04A0"/>
    <w:rsid w:val="006C66C0"/>
    <w:rsid w:val="006E7A42"/>
    <w:rsid w:val="00771D45"/>
    <w:rsid w:val="007E52C4"/>
    <w:rsid w:val="008269FA"/>
    <w:rsid w:val="00877116"/>
    <w:rsid w:val="008C0C08"/>
    <w:rsid w:val="008F0758"/>
    <w:rsid w:val="008F6242"/>
    <w:rsid w:val="00960E54"/>
    <w:rsid w:val="009B265B"/>
    <w:rsid w:val="009D31B3"/>
    <w:rsid w:val="009E63BA"/>
    <w:rsid w:val="00AC250A"/>
    <w:rsid w:val="00C81C09"/>
    <w:rsid w:val="00D02EAB"/>
    <w:rsid w:val="00D7148E"/>
    <w:rsid w:val="00D90262"/>
    <w:rsid w:val="00DC7440"/>
    <w:rsid w:val="00E744B0"/>
    <w:rsid w:val="00E77508"/>
    <w:rsid w:val="00EE68A4"/>
    <w:rsid w:val="00EF5AE9"/>
    <w:rsid w:val="00F24306"/>
    <w:rsid w:val="00FE6A23"/>
    <w:rsid w:val="03E74701"/>
    <w:rsid w:val="09F8611E"/>
    <w:rsid w:val="0A6C3DC0"/>
    <w:rsid w:val="0C4801EC"/>
    <w:rsid w:val="137D5290"/>
    <w:rsid w:val="15005623"/>
    <w:rsid w:val="17372B01"/>
    <w:rsid w:val="17BD4979"/>
    <w:rsid w:val="18F8774A"/>
    <w:rsid w:val="1B8F3DB2"/>
    <w:rsid w:val="1C057BD0"/>
    <w:rsid w:val="1C1B0F94"/>
    <w:rsid w:val="267714BD"/>
    <w:rsid w:val="28F1147C"/>
    <w:rsid w:val="2A4976B3"/>
    <w:rsid w:val="2B5157D4"/>
    <w:rsid w:val="2CAD1D23"/>
    <w:rsid w:val="2EB808C5"/>
    <w:rsid w:val="31A939D7"/>
    <w:rsid w:val="31D6178E"/>
    <w:rsid w:val="32CF5C94"/>
    <w:rsid w:val="33CC7F26"/>
    <w:rsid w:val="37C11E6D"/>
    <w:rsid w:val="3B757CD8"/>
    <w:rsid w:val="3E0B24F5"/>
    <w:rsid w:val="3F1B1E7A"/>
    <w:rsid w:val="42AB504E"/>
    <w:rsid w:val="48143DE5"/>
    <w:rsid w:val="51D9782A"/>
    <w:rsid w:val="570573DD"/>
    <w:rsid w:val="595119E3"/>
    <w:rsid w:val="599771A5"/>
    <w:rsid w:val="5E6C0D93"/>
    <w:rsid w:val="5F6137A5"/>
    <w:rsid w:val="60722D40"/>
    <w:rsid w:val="64135D14"/>
    <w:rsid w:val="6CF348C8"/>
    <w:rsid w:val="6F4A4AAA"/>
    <w:rsid w:val="70801449"/>
    <w:rsid w:val="72163F1B"/>
    <w:rsid w:val="77BC0A2C"/>
    <w:rsid w:val="7A2F5A49"/>
    <w:rsid w:val="7A3F3423"/>
    <w:rsid w:val="7B424CDF"/>
    <w:rsid w:val="7D1B1F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3"/>
    <w:qFormat/>
    <w:uiPriority w:val="9"/>
    <w:pPr>
      <w:widowControl/>
      <w:spacing w:before="100" w:beforeAutospacing="1" w:after="100" w:afterAutospacing="1"/>
      <w:jc w:val="left"/>
      <w:outlineLvl w:val="0"/>
    </w:pPr>
    <w:rPr>
      <w:rFonts w:ascii="宋体" w:hAnsi="宋体" w:eastAsia="宋体" w:cs="宋体"/>
      <w:b/>
      <w:bCs/>
      <w:kern w:val="36"/>
      <w:sz w:val="28"/>
      <w:szCs w:val="48"/>
    </w:rPr>
  </w:style>
  <w:style w:type="paragraph" w:styleId="3">
    <w:name w:val="heading 2"/>
    <w:basedOn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qFormat/>
    <w:uiPriority w:val="39"/>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FollowedHyperlink"/>
    <w:basedOn w:val="9"/>
    <w:semiHidden/>
    <w:unhideWhenUsed/>
    <w:uiPriority w:val="99"/>
    <w:rPr>
      <w:color w:val="954F72" w:themeColor="followedHyperlink"/>
      <w:u w:val="single"/>
      <w14:textFill>
        <w14:solidFill>
          <w14:schemeClr w14:val="folHlink"/>
        </w14:solidFill>
      </w14:textFill>
    </w:rPr>
  </w:style>
  <w:style w:type="character" w:styleId="12">
    <w:name w:val="Hyperlink"/>
    <w:basedOn w:val="9"/>
    <w:unhideWhenUsed/>
    <w:qFormat/>
    <w:uiPriority w:val="99"/>
    <w:rPr>
      <w:color w:val="0000FF"/>
      <w:u w:val="single"/>
    </w:rPr>
  </w:style>
  <w:style w:type="character" w:customStyle="1" w:styleId="13">
    <w:name w:val="标题 1 字符"/>
    <w:basedOn w:val="9"/>
    <w:link w:val="2"/>
    <w:qFormat/>
    <w:uiPriority w:val="9"/>
    <w:rPr>
      <w:rFonts w:ascii="宋体" w:hAnsi="宋体" w:eastAsia="宋体" w:cs="宋体"/>
      <w:b/>
      <w:bCs/>
      <w:kern w:val="36"/>
      <w:sz w:val="28"/>
      <w:szCs w:val="48"/>
    </w:rPr>
  </w:style>
  <w:style w:type="character" w:customStyle="1" w:styleId="14">
    <w:name w:val="标题 2 字符"/>
    <w:basedOn w:val="9"/>
    <w:link w:val="3"/>
    <w:qFormat/>
    <w:uiPriority w:val="9"/>
    <w:rPr>
      <w:rFonts w:ascii="宋体" w:hAnsi="宋体" w:eastAsia="宋体" w:cs="宋体"/>
      <w:b/>
      <w:bCs/>
      <w:kern w:val="0"/>
      <w:sz w:val="36"/>
      <w:szCs w:val="36"/>
    </w:rPr>
  </w:style>
  <w:style w:type="paragraph" w:styleId="15">
    <w:name w:val="List Paragraph"/>
    <w:basedOn w:val="1"/>
    <w:qFormat/>
    <w:uiPriority w:val="34"/>
    <w:pPr>
      <w:ind w:left="720"/>
      <w:contextualSpacing/>
    </w:pPr>
  </w:style>
  <w:style w:type="character" w:customStyle="1" w:styleId="16">
    <w:name w:val="页眉 字符"/>
    <w:basedOn w:val="9"/>
    <w:link w:val="5"/>
    <w:qFormat/>
    <w:uiPriority w:val="99"/>
    <w:rPr>
      <w:kern w:val="2"/>
      <w:sz w:val="18"/>
      <w:szCs w:val="18"/>
    </w:rPr>
  </w:style>
  <w:style w:type="character" w:customStyle="1" w:styleId="17">
    <w:name w:val="页脚 字符"/>
    <w:basedOn w:val="9"/>
    <w:link w:val="4"/>
    <w:qFormat/>
    <w:uiPriority w:val="99"/>
    <w:rPr>
      <w:kern w:val="2"/>
      <w:sz w:val="18"/>
      <w:szCs w:val="18"/>
    </w:rPr>
  </w:style>
  <w:style w:type="paragraph" w:customStyle="1" w:styleId="18">
    <w:name w:val="TOC Heading"/>
    <w:basedOn w:val="2"/>
    <w:next w:val="1"/>
    <w:unhideWhenUsed/>
    <w:qFormat/>
    <w:uiPriority w:val="39"/>
    <w:pPr>
      <w:keepNext/>
      <w:keepLines/>
      <w:spacing w:before="240" w:beforeAutospacing="0" w:after="0" w:afterAutospacing="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A4E0D-8E2A-4108-99BF-C7F65F93ACBF}">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13181</Words>
  <Characters>15216</Characters>
  <Lines>228</Lines>
  <Paragraphs>64</Paragraphs>
  <TotalTime>1</TotalTime>
  <ScaleCrop>false</ScaleCrop>
  <LinksUpToDate>false</LinksUpToDate>
  <CharactersWithSpaces>15366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2025-05-22T07:07:00Z</dcterms:created>
  <dc:creator>李广利</dc:creator>
  <cp:lastModifiedBy>刘思瑶</cp:lastModifiedBy>
  <dcterms:modified xsi:type="dcterms:W3CDTF">2025-05-26T03:21:10Z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2025-05-19T04:00:53Z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41d17068-ba90-405d-91b9-0bcd92c9776d</vt:lpwstr>
  </property>
  <property fmtid="{D5CDD505-2E9C-101B-9397-08002B2CF9AE}" pid="7" name="MSIP_Label_defa4170-0d19-0005-0004-bc88714345d2_ActionId">
    <vt:lpwstr>ecdc9874-13dd-4d2a-9d80-47abe21892dc</vt:lpwstr>
  </property>
  <property fmtid="{D5CDD505-2E9C-101B-9397-08002B2CF9AE}" pid="8" name="MSIP_Label_defa4170-0d19-0005-0004-bc88714345d2_ContentBits">
    <vt:lpwstr>0</vt:lpwstr>
  </property>
  <property fmtid="{D5CDD505-2E9C-101B-9397-08002B2CF9AE}" pid="9" name="KSOTemplateDocerSaveRecord">
    <vt:lpwstr>eyJoZGlkIjoiNmZlNGU0ODNlMjUzN2RiZWU5MGFhZmJhNGMwNDg5NDMiLCJ1c2VySWQiOiIxNjY4NjU3NzYzIn0=</vt:lpwstr>
  </property>
  <property fmtid="{D5CDD505-2E9C-101B-9397-08002B2CF9AE}" pid="10" name="KSOProductBuildVer">
    <vt:lpwstr>2052-12.1.0.19302</vt:lpwstr>
  </property>
  <property fmtid="{D5CDD505-2E9C-101B-9397-08002B2CF9AE}" pid="11" name="ICV">
    <vt:lpwstr>CDC178F06CB745608804D0EDC37698FC_12</vt:lpwstr>
  </property>
</Properties>
</file>